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W w:w="11199" w:type="dxa"/>
        <w:tblInd w:w="-121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30"/>
        <w:gridCol w:w="1394"/>
        <w:gridCol w:w="1395"/>
        <w:gridCol w:w="1039"/>
        <w:gridCol w:w="330"/>
        <w:gridCol w:w="757"/>
        <w:gridCol w:w="176"/>
        <w:gridCol w:w="1383"/>
        <w:gridCol w:w="365"/>
        <w:gridCol w:w="769"/>
        <w:gridCol w:w="962"/>
        <w:gridCol w:w="1063"/>
        <w:gridCol w:w="1236"/>
      </w:tblGrid>
      <w:tr>
        <w:trPr>
          <w:wAfter w:w="0" w:type="dxa"/>
          <w:trHeight w:val="300" w:hRule="atLeast"/>
        </w:trPr>
        <w:tc>
          <w:tcPr>
            <w:cnfStyle w:val="101000000000"/>
            <w:tcW w:w="330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100000000000"/>
            <w:tcW w:w="1394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100000000000"/>
            <w:tcW w:w="1395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100000000000"/>
            <w:tcW w:w="6844" w:type="dxa"/>
            <w:noWrap w:val="on"/>
            <w:gridSpan w:val="9"/>
            <w:shd w:val="clear" w:color="auto" w:fill="auto"/>
            <w:vAlign w:val="center"/>
          </w:tcPr>
          <w:p>
            <w:pPr>
              <w:pStyle w:val="Normal"/>
              <w:ind w:right="439"/>
              <w:rPr>
                <w:b/>
                <w:sz w:val="22"/>
                <w:szCs w:val="22"/>
              </w:rPr>
            </w:pPr>
          </w:p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</w:p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</w:p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</w:p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</w:p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</w:p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 </w:t>
            </w:r>
          </w:p>
        </w:tc>
        <w:tc>
          <w:tcPr>
            <w:cnfStyle w:val="100000000000"/>
            <w:tcW w:w="1236" w:type="dxa"/>
          </w:tcPr>
          <w:p>
            <w:pPr>
              <w:pStyle w:val="Normal"/>
              <w:ind w:right="439"/>
              <w:rPr>
                <w:b/>
                <w:sz w:val="22"/>
                <w:szCs w:val="22"/>
              </w:rPr>
            </w:pPr>
          </w:p>
        </w:tc>
      </w:tr>
      <w:tr>
        <w:trPr>
          <w:wAfter w:w="0" w:type="dxa"/>
          <w:trHeight w:val="289" w:hRule="atLeast"/>
        </w:trPr>
        <w:tc>
          <w:tcPr>
            <w:cnfStyle w:val="001000100000"/>
            <w:tcW w:w="330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394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395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6844" w:type="dxa"/>
            <w:noWrap w:val="on"/>
            <w:gridSpan w:val="9"/>
            <w:shd w:val="clear" w:color="auto" w:fill="auto"/>
            <w:vAlign w:val="center"/>
          </w:tcPr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постановлению Администрации г. Обнинска</w:t>
            </w:r>
          </w:p>
        </w:tc>
        <w:tc>
          <w:tcPr>
            <w:cnfStyle w:val="000000100000"/>
            <w:tcW w:w="1236" w:type="dxa"/>
          </w:tcPr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</w:p>
        </w:tc>
      </w:tr>
      <w:tr>
        <w:trPr>
          <w:wAfter w:w="0" w:type="dxa"/>
          <w:trHeight w:val="405" w:hRule="atLeast"/>
        </w:trPr>
        <w:tc>
          <w:tcPr>
            <w:cnfStyle w:val="001000010000"/>
            <w:tcW w:w="330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010000"/>
            <w:tcW w:w="1394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010000"/>
            <w:tcW w:w="1395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010000"/>
            <w:tcW w:w="6844" w:type="dxa"/>
            <w:noWrap w:val="on"/>
            <w:gridSpan w:val="9"/>
            <w:shd w:val="clear" w:color="auto" w:fill="auto"/>
            <w:vAlign w:val="center"/>
          </w:tcPr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>03.07.2024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b/>
                <w:sz w:val="22"/>
                <w:szCs w:val="22"/>
                <w:u w:val="single"/>
              </w:rPr>
              <w:t>1916-п</w:t>
            </w:r>
            <w:r>
              <w:rPr>
                <w:b/>
                <w:sz w:val="22"/>
                <w:szCs w:val="22"/>
                <w:u w:val="single"/>
              </w:rPr>
              <w:t xml:space="preserve">            </w:t>
            </w:r>
            <w:r>
              <w:rPr>
                <w:b/>
                <w:color w:val="ffffff"/>
                <w:sz w:val="22"/>
                <w:szCs w:val="22"/>
                <w:u w:val="single"/>
              </w:rPr>
              <w:t>.</w:t>
            </w:r>
            <w:r>
              <w:rPr>
                <w:b/>
                <w:sz w:val="22"/>
                <w:szCs w:val="22"/>
                <w:u w:val="single"/>
              </w:rPr>
              <w:t xml:space="preserve">            </w:t>
            </w:r>
            <w:r>
              <w:rPr>
                <w:b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cnfStyle w:val="000000010000"/>
            <w:tcW w:w="1236" w:type="dxa"/>
          </w:tcPr>
          <w:p>
            <w:pPr>
              <w:pStyle w:val="Normal"/>
              <w:ind w:right="439"/>
              <w:jc w:val="right"/>
              <w:rPr>
                <w:b/>
                <w:sz w:val="22"/>
                <w:szCs w:val="22"/>
                <w:u w:val="single"/>
              </w:rPr>
            </w:pPr>
          </w:p>
        </w:tc>
      </w:tr>
      <w:tr>
        <w:trPr>
          <w:wAfter w:w="0" w:type="dxa"/>
          <w:trHeight w:val="80" w:hRule="atLeast"/>
        </w:trPr>
        <w:tc>
          <w:tcPr>
            <w:cnfStyle w:val="001000100000"/>
            <w:tcW w:w="330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394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395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369" w:type="dxa"/>
            <w:noWrap w:val="on"/>
            <w:gridSpan w:val="2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933" w:type="dxa"/>
            <w:noWrap w:val="on"/>
            <w:gridSpan w:val="2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748" w:type="dxa"/>
            <w:noWrap w:val="on"/>
            <w:gridSpan w:val="2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769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962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063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236" w:type="dxa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</w:tr>
      <w:tr>
        <w:trPr>
          <w:wAfter w:w="0" w:type="dxa"/>
          <w:trHeight w:val="289" w:hRule="atLeast"/>
        </w:trPr>
        <w:tc>
          <w:tcPr>
            <w:cnfStyle w:val="001000010000"/>
            <w:tcW w:w="8900" w:type="dxa"/>
            <w:noWrap w:val="on"/>
            <w:gridSpan w:val="11"/>
            <w:shd w:val="clear" w:color="auto" w:fill="auto"/>
            <w:vAlign w:val="center"/>
          </w:tcPr>
          <w:p>
            <w:pPr>
              <w:pStyle w:val="Normal"/>
              <w:ind w:left="1736" w:firstLine="85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Реестр многоквартирных домов на территории муниципального образования "Город Обнинск",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собственники помещений в которых формируют фонд капитального ремонта на счете регионального оператора и в установленный срок не приняли решение о проведении капитального ремонта общего имущества  на основании предложений регионального </w:t>
            </w:r>
            <w:r>
              <w:rPr>
                <w:b/>
                <w:sz w:val="22"/>
                <w:szCs w:val="22"/>
              </w:rPr>
              <w:t>оператора от 15.05.2023</w:t>
            </w:r>
            <w:r>
              <w:rPr>
                <w:b/>
                <w:sz w:val="22"/>
                <w:szCs w:val="22"/>
              </w:rPr>
              <w:t>, в связи с чем  капитальный ремонт общего имущества в них подлежит проведению на основании решения органа местного самоуправления в соответствии с  краткосрочным планом реализации программы капитального ремонта общего имущества в многоквартирных домах Калужской области на 202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годы и предложениями регионального оператора.</w:t>
            </w:r>
          </w:p>
        </w:tc>
        <w:tc>
          <w:tcPr>
            <w:cnfStyle w:val="000000010000"/>
            <w:tcW w:w="1063" w:type="dxa"/>
            <w:noWrap w:val="on"/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010000"/>
            <w:tcW w:w="1236" w:type="dxa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</w:tr>
      <w:tr>
        <w:trPr>
          <w:wAfter w:w="0" w:type="dxa"/>
          <w:trHeight w:val="300" w:hRule="atLeast"/>
        </w:trPr>
        <w:tc>
          <w:tcPr>
            <w:cnfStyle w:val="001000100000"/>
            <w:tcW w:w="330" w:type="dxa"/>
            <w:noWrap w:val="on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394" w:type="dxa"/>
            <w:noWrap w:val="on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395" w:type="dxa"/>
            <w:noWrap w:val="on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039" w:type="dxa"/>
            <w:noWrap w:val="on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087" w:type="dxa"/>
            <w:noWrap w:val="on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559" w:type="dxa"/>
            <w:noWrap w:val="on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134" w:type="dxa"/>
            <w:noWrap w:val="on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962" w:type="dxa"/>
            <w:noWrap w:val="on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063" w:type="dxa"/>
            <w:noWrap w:val="on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  <w:tc>
          <w:tcPr>
            <w:cnfStyle w:val="000000100000"/>
            <w:tcW w:w="1236" w:type="dxa"/>
            <w:tcBorders>
              <w:bottom w:val="single" w:color="auto" w:sz="4" w:space="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cnfStyle w:val="000000010000"/>
            <w:tcW w:w="1394" w:type="dxa"/>
            <w:noWrap w:val="on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cnfStyle w:val="000000010000"/>
            <w:tcW w:w="1395" w:type="dxa"/>
            <w:noWrap w:val="on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 МКД</w:t>
            </w:r>
          </w:p>
        </w:tc>
        <w:tc>
          <w:tcPr>
            <w:cnfStyle w:val="000000010000"/>
            <w:tcW w:w="1039" w:type="dxa"/>
            <w:noWrap w:val="on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Проведение капитального ремонта</w:t>
            </w:r>
          </w:p>
        </w:tc>
        <w:tc>
          <w:tcPr>
            <w:cnfStyle w:val="000000010000"/>
            <w:tcW w:w="1087" w:type="dxa"/>
            <w:noWrap w:val="on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услуг и (или) работ по капитальному ремонту</w:t>
            </w:r>
          </w:p>
        </w:tc>
        <w:tc>
          <w:tcPr>
            <w:cnfStyle w:val="000000010000"/>
            <w:tcW w:w="1559" w:type="dxa"/>
            <w:noWrap w:val="on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 финансирования капитального ремонта</w:t>
            </w:r>
          </w:p>
        </w:tc>
        <w:tc>
          <w:tcPr>
            <w:cnfStyle w:val="000000010000"/>
            <w:tcW w:w="4395" w:type="dxa"/>
            <w:noWrap w:val="on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Предельно допустимая стоимость капитального ремонта</w:t>
            </w: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134" w:type="dxa"/>
            <w:noWrap w:val="on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cnfStyle w:val="000000100000"/>
            <w:tcW w:w="3261" w:type="dxa"/>
            <w:noWrap w:val="on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числе:</w:t>
            </w: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010000"/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010000"/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010000"/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010000"/>
            <w:tcW w:w="1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010000"/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010000"/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nil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ПСД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Работа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Строительный контроль</w:t>
            </w: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ул. </w:t>
            </w:r>
            <w:r>
              <w:rPr>
                <w:b/>
                <w:sz w:val="18"/>
                <w:szCs w:val="18"/>
              </w:rPr>
              <w:t>Белкинская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1998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 2 л</w:t>
            </w:r>
            <w:r>
              <w:rPr>
                <w:b/>
                <w:sz w:val="18"/>
                <w:szCs w:val="18"/>
              </w:rPr>
              <w:t>ифт</w:t>
            </w:r>
            <w:r>
              <w:rPr>
                <w:b/>
                <w:sz w:val="18"/>
                <w:szCs w:val="18"/>
              </w:rPr>
              <w:t>ов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17 461 153,00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2 716 332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866 958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877 863,00</w:t>
            </w: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ул. </w:t>
            </w:r>
            <w:r>
              <w:rPr>
                <w:b/>
                <w:sz w:val="18"/>
                <w:szCs w:val="18"/>
              </w:rPr>
              <w:t>Блохинцева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11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1955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Ремонт </w:t>
            </w:r>
            <w:r>
              <w:rPr>
                <w:b/>
                <w:sz w:val="18"/>
                <w:szCs w:val="18"/>
              </w:rPr>
              <w:t>крыш</w:t>
            </w:r>
            <w:r>
              <w:rPr>
                <w:b/>
                <w:sz w:val="18"/>
                <w:szCs w:val="18"/>
              </w:rPr>
              <w:t xml:space="preserve">и 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lang w:val="en-US"/>
              </w:rPr>
              <w:t>17 902 969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1 569 853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16 333 116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  <w:lang w:val="en-US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ул. </w:t>
            </w:r>
            <w:r>
              <w:rPr>
                <w:b/>
                <w:sz w:val="18"/>
                <w:szCs w:val="18"/>
              </w:rPr>
              <w:t>Гагарина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4 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1999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 2 л</w:t>
            </w:r>
            <w:r>
              <w:rPr>
                <w:b/>
                <w:sz w:val="18"/>
                <w:szCs w:val="18"/>
              </w:rPr>
              <w:t>ифт</w:t>
            </w:r>
            <w:r>
              <w:rPr>
                <w:b/>
                <w:sz w:val="18"/>
                <w:szCs w:val="18"/>
              </w:rPr>
              <w:t>ов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18 879 237,00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lang w:val="en-US"/>
              </w:rPr>
              <w:t>3 667 040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lang w:val="en-US"/>
              </w:rPr>
              <w:t>13 866 958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1 345 239,00</w:t>
            </w: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ул. </w:t>
            </w:r>
            <w:r>
              <w:rPr>
                <w:b/>
                <w:sz w:val="18"/>
                <w:szCs w:val="18"/>
              </w:rPr>
              <w:t>Гагарина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18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1998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 1 л</w:t>
            </w:r>
            <w:r>
              <w:rPr>
                <w:b/>
                <w:sz w:val="18"/>
                <w:szCs w:val="18"/>
              </w:rPr>
              <w:t>ифт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9 028 988,00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lang w:val="en-US"/>
              </w:rPr>
              <w:t>1 659 024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lang w:val="en-US"/>
              </w:rPr>
              <w:t>6 933 479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436 485,00</w:t>
            </w: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ул. </w:t>
            </w:r>
            <w:r>
              <w:rPr>
                <w:b/>
                <w:sz w:val="18"/>
                <w:szCs w:val="18"/>
              </w:rPr>
              <w:t>Гагарина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57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1986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19 197 116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2 936 420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16 260 696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  <w:lang w:val="en-US"/>
              </w:rPr>
              <w:t>8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  <w:lang w:val="en-US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ул. </w:t>
            </w:r>
            <w:r>
              <w:rPr>
                <w:b/>
                <w:sz w:val="18"/>
                <w:szCs w:val="18"/>
              </w:rPr>
              <w:t>Гоголя</w:t>
            </w:r>
            <w:r>
              <w:rPr>
                <w:b/>
                <w:sz w:val="18"/>
                <w:szCs w:val="18"/>
              </w:rPr>
              <w:t>, д.</w:t>
            </w:r>
            <w:r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17 328 596,00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1 525 692,00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15 802 904,00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Ленина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д. </w:t>
            </w:r>
            <w:r>
              <w:rPr>
                <w:b/>
                <w:sz w:val="18"/>
                <w:szCs w:val="18"/>
              </w:rPr>
              <w:t>3/5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1950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15 552 169,60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1 510 604,00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14 041 565,60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Ленина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17/2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16 906 688,80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1 615 892,00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15 290 796,80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Ленина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19/9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18 447 242,00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1 629 176,00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16 818 066,00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Ленина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22/8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1957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20 873 948,00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1 889 772,00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18 984 176,00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Ленина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36А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1956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13 216 670,00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1 636 064,00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11 580 606,00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Ленина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65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1964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7 961 604,00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836 072,00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7 125 532,00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928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Ленина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95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1971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 6 лифтов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51 339 169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7 421 164,00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41 600 874,00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2 317 131,6</w:t>
            </w: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Маркса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10 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1978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19 398 902,40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2 714 036,00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16 684 866,40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Маркса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50 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16 561 244,80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2 563 648,00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13 997 596,80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Маркса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63 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2000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 7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лифтов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64 393 419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12767236,00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48534353,00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3 091 830,00</w:t>
            </w: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</w:t>
            </w:r>
            <w:r>
              <w:rPr>
                <w:b/>
                <w:sz w:val="18"/>
                <w:szCs w:val="18"/>
              </w:rPr>
              <w:t>Маркса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80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1979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18 438 901,60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2 897 224,00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15 541 677,60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01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cnfStyle w:val="00000001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01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пл. </w:t>
            </w:r>
            <w:r>
              <w:rPr>
                <w:b/>
                <w:sz w:val="18"/>
                <w:szCs w:val="18"/>
              </w:rPr>
              <w:t>Треугольная</w:t>
            </w:r>
            <w:r>
              <w:rPr>
                <w:b/>
                <w:sz w:val="18"/>
                <w:szCs w:val="18"/>
              </w:rPr>
              <w:t>,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д.</w:t>
            </w:r>
            <w:r>
              <w:rPr>
                <w:b/>
                <w:sz w:val="18"/>
                <w:szCs w:val="18"/>
              </w:rPr>
              <w:t xml:space="preserve"> 1 </w:t>
            </w:r>
          </w:p>
        </w:tc>
        <w:tc>
          <w:tcPr>
            <w:cnfStyle w:val="00000001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1978</w:t>
            </w:r>
          </w:p>
        </w:tc>
        <w:tc>
          <w:tcPr>
            <w:cnfStyle w:val="00000001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01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01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53 519 724,00</w:t>
            </w:r>
          </w:p>
        </w:tc>
        <w:tc>
          <w:tcPr>
            <w:cnfStyle w:val="00000001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12408896,00</w:t>
            </w:r>
          </w:p>
        </w:tc>
        <w:tc>
          <w:tcPr>
            <w:cnfStyle w:val="00000001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41 110 828,00</w:t>
            </w:r>
          </w:p>
        </w:tc>
        <w:tc>
          <w:tcPr>
            <w:cnfStyle w:val="00000001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>
        <w:trPr>
          <w:wAfter w:w="0" w:type="dxa"/>
          <w:trHeight w:val="227" w:hRule="atLeast"/>
        </w:trPr>
        <w:tc>
          <w:tcPr>
            <w:cnfStyle w:val="001000100000"/>
            <w:tcW w:w="330" w:type="dxa"/>
            <w:noWrap w:val="on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cnfStyle w:val="000000100000"/>
            <w:tcW w:w="1394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cnfStyle w:val="000000100000"/>
            <w:tcW w:w="1395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ул. </w:t>
            </w:r>
            <w:r>
              <w:rPr>
                <w:b/>
                <w:sz w:val="18"/>
                <w:szCs w:val="18"/>
              </w:rPr>
              <w:t>Энгельса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</w:t>
            </w:r>
            <w:r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cnfStyle w:val="000000100000"/>
            <w:tcW w:w="1039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1988</w:t>
            </w:r>
          </w:p>
        </w:tc>
        <w:tc>
          <w:tcPr>
            <w:cnfStyle w:val="000000100000"/>
            <w:tcW w:w="1087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крыши</w:t>
            </w:r>
          </w:p>
        </w:tc>
        <w:tc>
          <w:tcPr>
            <w:cnfStyle w:val="000000100000"/>
            <w:tcW w:w="1559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cnfStyle w:val="000000100000"/>
            <w:tcW w:w="1134" w:type="dxa"/>
            <w:noWrap w:val="on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16 757 566,00</w:t>
            </w:r>
          </w:p>
        </w:tc>
        <w:tc>
          <w:tcPr>
            <w:cnfStyle w:val="000000100000"/>
            <w:tcW w:w="962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4 137 228,00</w:t>
            </w:r>
          </w:p>
        </w:tc>
        <w:tc>
          <w:tcPr>
            <w:cnfStyle w:val="000000100000"/>
            <w:tcW w:w="1063" w:type="dxa"/>
            <w:noWrap w:val="on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12 620 338,80</w:t>
            </w:r>
          </w:p>
        </w:tc>
        <w:tc>
          <w:tcPr>
            <w:cnfStyle w:val="000000100000"/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</w:p>
        </w:tc>
      </w:tr>
    </w:tbl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ab/>
        <w:tab/>
        <w:tab/>
        <w:tab/>
      </w: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