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8" w:rsidRPr="00CE0672" w:rsidRDefault="009242A8">
      <w:pPr>
        <w:tabs>
          <w:tab w:val="left" w:pos="-142"/>
        </w:tabs>
        <w:spacing w:line="276" w:lineRule="auto"/>
        <w:ind w:left="4820" w:right="140" w:hanging="284"/>
        <w:jc w:val="right"/>
        <w:rPr>
          <w:rFonts w:ascii="Times New Roman" w:hAnsi="Times New Roman" w:cs="Times New Roman"/>
          <w:sz w:val="26"/>
          <w:szCs w:val="26"/>
        </w:rPr>
      </w:pPr>
      <w:r w:rsidRPr="00CE0672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9242A8" w:rsidRPr="00CE0672" w:rsidRDefault="009242A8">
      <w:pPr>
        <w:tabs>
          <w:tab w:val="left" w:pos="-142"/>
        </w:tabs>
        <w:spacing w:line="276" w:lineRule="auto"/>
        <w:ind w:left="4820" w:right="140" w:hanging="284"/>
        <w:jc w:val="right"/>
        <w:rPr>
          <w:rFonts w:ascii="Times New Roman" w:hAnsi="Times New Roman" w:cs="Times New Roman"/>
          <w:sz w:val="26"/>
          <w:szCs w:val="26"/>
        </w:rPr>
      </w:pPr>
      <w:r w:rsidRPr="00CE0672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9242A8" w:rsidRPr="00CE0672" w:rsidRDefault="009242A8">
      <w:pPr>
        <w:tabs>
          <w:tab w:val="left" w:pos="-142"/>
        </w:tabs>
        <w:spacing w:line="276" w:lineRule="auto"/>
        <w:ind w:left="4820" w:right="140" w:hanging="284"/>
        <w:jc w:val="right"/>
        <w:rPr>
          <w:rFonts w:ascii="Times New Roman" w:hAnsi="Times New Roman" w:cs="Times New Roman"/>
          <w:sz w:val="26"/>
          <w:szCs w:val="26"/>
        </w:rPr>
      </w:pPr>
      <w:r w:rsidRPr="00CE0672">
        <w:rPr>
          <w:rFonts w:ascii="Times New Roman" w:hAnsi="Times New Roman" w:cs="Times New Roman"/>
          <w:sz w:val="26"/>
          <w:szCs w:val="26"/>
        </w:rPr>
        <w:t xml:space="preserve">города Обнинска </w:t>
      </w:r>
    </w:p>
    <w:p w:rsidR="009242A8" w:rsidRPr="00CE0672" w:rsidRDefault="003F4A05">
      <w:pPr>
        <w:tabs>
          <w:tab w:val="left" w:pos="-142"/>
        </w:tabs>
        <w:spacing w:line="276" w:lineRule="auto"/>
        <w:ind w:left="4820" w:right="140" w:hanging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24.03.2020 </w:t>
      </w:r>
      <w:bookmarkStart w:id="0" w:name="_GoBack"/>
      <w:bookmarkEnd w:id="0"/>
      <w:r w:rsidR="009242A8" w:rsidRPr="00CE067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490-п</w:t>
      </w:r>
    </w:p>
    <w:p w:rsidR="009242A8" w:rsidRPr="00CE0672" w:rsidRDefault="009242A8">
      <w:pPr>
        <w:keepNext/>
        <w:keepLines/>
        <w:spacing w:line="322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42A8" w:rsidRPr="00CE0672" w:rsidRDefault="009242A8" w:rsidP="00BC44FA">
      <w:pPr>
        <w:keepNext/>
        <w:keepLines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06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</w:t>
      </w:r>
    </w:p>
    <w:p w:rsidR="009242A8" w:rsidRPr="00CE0672" w:rsidRDefault="009242A8" w:rsidP="00BC44FA">
      <w:pPr>
        <w:ind w:left="40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0672">
        <w:rPr>
          <w:rFonts w:ascii="Times New Roman" w:hAnsi="Times New Roman" w:cs="Times New Roman"/>
          <w:b/>
          <w:sz w:val="26"/>
          <w:szCs w:val="26"/>
        </w:rPr>
        <w:t>мероприятий по реализации Стратегии социально-экономического развития города Обнинска как наукограда Российской Федерации на 2017-2025 годы</w:t>
      </w:r>
    </w:p>
    <w:p w:rsidR="009242A8" w:rsidRDefault="009242A8">
      <w:pPr>
        <w:spacing w:line="317" w:lineRule="exact"/>
        <w:ind w:left="4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42A8" w:rsidRDefault="009242A8">
      <w:pPr>
        <w:spacing w:line="317" w:lineRule="exact"/>
        <w:ind w:left="40" w:firstLine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Введение</w:t>
      </w:r>
    </w:p>
    <w:p w:rsidR="009242A8" w:rsidRDefault="009242A8">
      <w:pPr>
        <w:spacing w:line="317" w:lineRule="exact"/>
        <w:ind w:left="40" w:firstLine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242A8" w:rsidRDefault="009242A8">
      <w:pPr>
        <w:spacing w:line="360" w:lineRule="auto"/>
        <w:ind w:left="40" w:right="4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</w:rPr>
        <w:t>города Обнинска как наукограда Российской Федерации на 2017-2025 годы</w:t>
      </w:r>
      <w:r>
        <w:rPr>
          <w:rFonts w:ascii="Times New Roman" w:hAnsi="Times New Roman" w:cs="Times New Roman"/>
          <w:color w:val="000000"/>
        </w:rPr>
        <w:t xml:space="preserve"> (далее – План мероприятий) представляет собой документ стратегического планирования, содержащий комплекс мероприятий, инициируемых, разрабатываемых, утверждаемых и осуществляемых органами местного самоуправления и обеспечивающих эффективное решение задач в области социально-экономического развития города. План мероприятий разработан на основе положений Стратегии социально-экономического развития </w:t>
      </w:r>
      <w:r>
        <w:rPr>
          <w:rFonts w:ascii="Times New Roman" w:hAnsi="Times New Roman" w:cs="Times New Roman"/>
        </w:rPr>
        <w:t>города Обнинска как наукограда Российской Федерации на 2017-2025 годы</w:t>
      </w:r>
      <w:r>
        <w:rPr>
          <w:rFonts w:ascii="Times New Roman" w:hAnsi="Times New Roman" w:cs="Times New Roman"/>
          <w:color w:val="000000"/>
        </w:rPr>
        <w:t>, утвержденной постановлением Главы Администрации № 1901-п от 28 ноября 2016.</w:t>
      </w:r>
    </w:p>
    <w:p w:rsidR="009242A8" w:rsidRDefault="009242A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разработан на основании требований п.2. статьи 2.1. Федерального закона от 20.04.2015 г.№100-ФЗ «О внесении изменений в Федеральный закон «О статусе наукограда Российской Федерации» и Федеральный закон «О науке и государственной научно-технической политике»,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  <w:rPr>
          <w:rFonts w:cs="Times New Roman"/>
          <w:color w:val="00000A"/>
        </w:rPr>
      </w:pPr>
      <w:r>
        <w:rPr>
          <w:color w:val="00000A"/>
        </w:rPr>
        <w:t xml:space="preserve">Федеральным законом от 06.10.2003 г. № 131-ФЗ «Об общих принципах </w:t>
      </w:r>
      <w:r>
        <w:rPr>
          <w:rFonts w:cs="Times New Roman"/>
          <w:color w:val="00000A"/>
        </w:rPr>
        <w:t xml:space="preserve">организации местного самоуправления в Российской Федерации»; 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  <w:rPr>
          <w:rFonts w:cs="Times New Roman"/>
          <w:color w:val="00000A"/>
        </w:rPr>
      </w:pPr>
      <w:r>
        <w:rPr>
          <w:rFonts w:cs="Times New Roman"/>
          <w:color w:val="00000A"/>
        </w:rPr>
        <w:t>Указом Президента Российской Федерации от 06.05.2000 № 821 «О присвоении статуса наукограда Российской Федерации г. Обнинску Калужской  области»;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  <w:rPr>
          <w:rFonts w:cs="Times New Roman"/>
          <w:color w:val="00000A"/>
        </w:rPr>
      </w:pPr>
      <w:r>
        <w:rPr>
          <w:rFonts w:cs="Times New Roman"/>
          <w:color w:val="00000A"/>
        </w:rPr>
        <w:t>Постановлением Правительства РФ от 15.04.2014 № 301</w:t>
      </w:r>
      <w:r>
        <w:rPr>
          <w:rFonts w:cs="Times New Roman"/>
          <w:color w:val="00000A"/>
        </w:rPr>
        <w:br/>
        <w:t>«Об утверждении государственной программы Российской Федерации «Развитие науки и технологий» на 2013 - 2020 годы»;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  <w:rPr>
          <w:rFonts w:cs="Times New Roman"/>
          <w:color w:val="00000A"/>
        </w:rPr>
      </w:pPr>
      <w:r>
        <w:rPr>
          <w:rFonts w:cs="Times New Roman"/>
          <w:color w:val="00000A"/>
        </w:rPr>
        <w:t>Стратегией научно-технологического развития Российской Федерации на долгосрочный период, версия от 23.07.2016;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</w:pPr>
      <w:r>
        <w:rPr>
          <w:rFonts w:cs="Times New Roman"/>
        </w:rPr>
        <w:t xml:space="preserve">Прогнозом </w:t>
      </w:r>
      <w:hyperlink r:id="rId8">
        <w:r>
          <w:rPr>
            <w:rStyle w:val="-"/>
            <w:rFonts w:cs="Times New Roman"/>
            <w:u w:val="none"/>
          </w:rPr>
          <w:t>социально-экономического развития Российской Федерации на 2016 год и на плановый период 2017 и 2018 годов</w:t>
        </w:r>
      </w:hyperlink>
      <w:r>
        <w:rPr>
          <w:rFonts w:cs="Times New Roman"/>
        </w:rPr>
        <w:t>;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</w:pPr>
      <w:r>
        <w:rPr>
          <w:rFonts w:cs="Times New Roman"/>
          <w:color w:val="00000A"/>
        </w:rPr>
        <w:lastRenderedPageBreak/>
        <w:t xml:space="preserve">Концепцией Стратегии социально-экономического развития Российской Федерации на долгосрочный период (в соответствии со ст. 16 Федерального закона от 28 июня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cs="Times New Roman"/>
            <w:color w:val="00000A"/>
          </w:rPr>
          <w:t>2014 г</w:t>
        </w:r>
      </w:smartTag>
      <w:r>
        <w:rPr>
          <w:rFonts w:cs="Times New Roman"/>
          <w:color w:val="00000A"/>
        </w:rPr>
        <w:t>. №172-ФЗ «</w:t>
      </w:r>
      <w:hyperlink r:id="rId9" w:anchor="block_16" w:history="1">
        <w:r>
          <w:rPr>
            <w:rStyle w:val="-"/>
            <w:rFonts w:cs="Times New Roman"/>
            <w:color w:val="00000A"/>
            <w:u w:val="none"/>
          </w:rPr>
          <w:t>О стратегическом планировании в Российской Федерации</w:t>
        </w:r>
      </w:hyperlink>
      <w:r>
        <w:rPr>
          <w:rFonts w:cs="Times New Roman"/>
          <w:color w:val="00000A"/>
        </w:rPr>
        <w:t>»);</w:t>
      </w:r>
    </w:p>
    <w:p w:rsidR="009242A8" w:rsidRDefault="009242A8">
      <w:pPr>
        <w:pStyle w:val="11"/>
        <w:numPr>
          <w:ilvl w:val="0"/>
          <w:numId w:val="1"/>
        </w:numPr>
        <w:ind w:left="0" w:firstLine="709"/>
        <w:rPr>
          <w:rFonts w:cs="Times New Roman"/>
          <w:color w:val="00000A"/>
        </w:rPr>
      </w:pPr>
      <w:r>
        <w:rPr>
          <w:rFonts w:cs="Times New Roman"/>
          <w:color w:val="00000A"/>
        </w:rPr>
        <w:t>Постановлением Правительства Калужской области от 29.06.2009 № 250 «О Стратегии социально-экономического развития Калужской области до 2030 года».</w:t>
      </w:r>
    </w:p>
    <w:p w:rsidR="009242A8" w:rsidRDefault="009242A8">
      <w:pPr>
        <w:spacing w:line="360" w:lineRule="auto"/>
        <w:ind w:left="40" w:right="4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  мероприятий базируется на анализе предшествующего периода, оценке тенденций и прогнозов социально-экономического развития города Обнинска и учитывает особенности текущего периода развития Калужской област</w:t>
      </w:r>
      <w:r w:rsidR="000F72C5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, Центрального федерального округа и Российской Федерации в целом.</w:t>
      </w: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 мероприятий и представляет собой систему действий органов местного самоуправления и других исполнителей по реализации стратегических целей, задач по приоритетным направлениям социально-экономического развития Обнинска.</w:t>
      </w: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ind w:left="60" w:right="60" w:firstLine="740"/>
        <w:jc w:val="both"/>
        <w:rPr>
          <w:rFonts w:ascii="Times New Roman" w:hAnsi="Times New Roman" w:cs="Times New Roman"/>
          <w:color w:val="000000"/>
        </w:rPr>
      </w:pPr>
    </w:p>
    <w:p w:rsidR="009242A8" w:rsidRDefault="009242A8">
      <w:pPr>
        <w:spacing w:line="360" w:lineRule="auto"/>
        <w:rPr>
          <w:rFonts w:ascii="Times New Roman" w:hAnsi="Times New Roman" w:cs="Times New Roman"/>
        </w:rPr>
        <w:sectPr w:rsidR="009242A8">
          <w:footerReference w:type="default" r:id="rId10"/>
          <w:pgSz w:w="11906" w:h="16838"/>
          <w:pgMar w:top="1134" w:right="850" w:bottom="1134" w:left="1701" w:header="0" w:footer="708" w:gutter="0"/>
          <w:pgNumType w:start="1"/>
          <w:cols w:space="720"/>
          <w:formProt w:val="0"/>
          <w:docGrid w:linePitch="360" w:charSpace="-6145"/>
        </w:sectPr>
      </w:pPr>
    </w:p>
    <w:p w:rsidR="009242A8" w:rsidRDefault="009242A8">
      <w:pPr>
        <w:keepNext/>
        <w:keepLines/>
        <w:spacing w:line="322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</w:t>
      </w:r>
    </w:p>
    <w:p w:rsidR="009242A8" w:rsidRDefault="009242A8">
      <w:pPr>
        <w:ind w:left="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Стратегии социально-экономического развития города Обнинска как наукограда Российской Федерации на 2017-2025 годы</w:t>
      </w:r>
    </w:p>
    <w:p w:rsidR="009242A8" w:rsidRDefault="009242A8">
      <w:pPr>
        <w:ind w:left="40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5"/>
        <w:gridCol w:w="3847"/>
        <w:gridCol w:w="1658"/>
        <w:gridCol w:w="1670"/>
        <w:gridCol w:w="1373"/>
        <w:gridCol w:w="1655"/>
        <w:gridCol w:w="3310"/>
      </w:tblGrid>
      <w:tr w:rsidR="00040DD9" w:rsidRPr="00303991" w:rsidTr="003A4B26">
        <w:trPr>
          <w:tblHeader/>
        </w:trPr>
        <w:tc>
          <w:tcPr>
            <w:tcW w:w="1565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NN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Наименования разделов, подразделов мероприятии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Основные участники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Сроки реализации, годы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Ресурсное обеспечение, млн.</w:t>
            </w:r>
            <w:r w:rsidRPr="0030399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>Ожидаемы</w:t>
            </w:r>
            <w:r w:rsidRPr="00303991">
              <w:rPr>
                <w:rFonts w:cs="Times New Roman"/>
                <w:b/>
                <w:bCs/>
                <w:sz w:val="22"/>
                <w:szCs w:val="22"/>
              </w:rPr>
              <w:t>й</w:t>
            </w:r>
            <w:r w:rsidRPr="00303991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 результат</w:t>
            </w:r>
          </w:p>
        </w:tc>
      </w:tr>
      <w:tr w:rsidR="009242A8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 xml:space="preserve">1. 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b/>
              </w:rPr>
              <w:t xml:space="preserve">Развитие </w:t>
            </w:r>
            <w:r w:rsidRPr="00303991">
              <w:rPr>
                <w:rStyle w:val="tgc"/>
                <w:b/>
                <w:iCs/>
              </w:rPr>
              <w:t>ядерных и радиационных технологий</w:t>
            </w:r>
            <w:r w:rsidRPr="00303991">
              <w:rPr>
                <w:b/>
              </w:rPr>
              <w:t xml:space="preserve">, в </w:t>
            </w:r>
            <w:proofErr w:type="spellStart"/>
            <w:r w:rsidRPr="00303991">
              <w:rPr>
                <w:b/>
              </w:rPr>
              <w:t>т.ч</w:t>
            </w:r>
            <w:proofErr w:type="spellEnd"/>
            <w:r w:rsidRPr="00303991">
              <w:rPr>
                <w:b/>
              </w:rPr>
              <w:t xml:space="preserve">. технологий </w:t>
            </w:r>
            <w:r w:rsidRPr="00303991">
              <w:rPr>
                <w:rStyle w:val="tgc"/>
                <w:b/>
                <w:iCs/>
              </w:rPr>
              <w:t>неэнергетического применения</w:t>
            </w:r>
          </w:p>
        </w:tc>
      </w:tr>
      <w:tr w:rsidR="00040DD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9242A8" w:rsidRPr="00A928A7" w:rsidRDefault="009242A8" w:rsidP="00CE0672">
            <w:pPr>
              <w:spacing w:beforeAutospacing="1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ind w:left="78" w:right="127"/>
              <w:rPr>
                <w:rFonts w:ascii="Times" w:hAnsi="Times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Создание Центра нейтронной терапии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МРНЦ, ГНЦ РФ ФЭИ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МРНЦ и ФЭИ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ind w:left="127" w:right="164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>комплекса. Пропускная способность 200 человек в год с перспективой увеличения её до 1 000 пациентов в год.</w:t>
            </w:r>
          </w:p>
        </w:tc>
      </w:tr>
      <w:tr w:rsidR="00040DD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9242A8" w:rsidRPr="00A928A7" w:rsidRDefault="009242A8" w:rsidP="00CE0672">
            <w:pPr>
              <w:spacing w:beforeAutospacing="1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ind w:left="78" w:right="127"/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Создание Центра радиационных технологий для сельского хозяйства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ВНИИРАЭ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ВНИИРАЭ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9242A8" w:rsidRPr="00303991" w:rsidRDefault="009242A8" w:rsidP="00C16938">
            <w:pPr>
              <w:ind w:left="127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образц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с использованием радиационной обработки в технологических процессах производства, переработки и хранения сельскохозяйственного сырья и пищевой продукции. Разработ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а национальны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технологически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C169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радиационной обработки в сельском хозяйстве и пищевой промышленности.</w:t>
            </w:r>
          </w:p>
        </w:tc>
      </w:tr>
      <w:tr w:rsidR="00040DD9" w:rsidRPr="00303991" w:rsidTr="003A4B26">
        <w:tc>
          <w:tcPr>
            <w:tcW w:w="156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A928A7" w:rsidRDefault="009242A8" w:rsidP="00CE0672">
            <w:pPr>
              <w:spacing w:beforeAutospacing="1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47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ind w:left="78" w:right="127"/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Развитие Центра протонно-ионной терапии</w:t>
            </w:r>
          </w:p>
        </w:tc>
        <w:tc>
          <w:tcPr>
            <w:tcW w:w="3328" w:type="dxa"/>
            <w:gridSpan w:val="2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МРНЦ, ЗАО «</w:t>
            </w:r>
            <w:proofErr w:type="spellStart"/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Протом</w:t>
            </w:r>
            <w:proofErr w:type="spellEnd"/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373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МРНЦ и ЗАО «</w:t>
            </w:r>
            <w:proofErr w:type="spellStart"/>
            <w:r w:rsidRPr="00303991">
              <w:rPr>
                <w:rFonts w:ascii="Times" w:hAnsi="Times" w:cs="Times New Roman"/>
                <w:sz w:val="22"/>
                <w:szCs w:val="22"/>
              </w:rPr>
              <w:t>Протом</w:t>
            </w:r>
            <w:proofErr w:type="spellEnd"/>
            <w:r w:rsidRPr="00303991">
              <w:rPr>
                <w:rFonts w:ascii="Times" w:hAnsi="Times" w:cs="Times New Roman"/>
                <w:sz w:val="22"/>
                <w:szCs w:val="22"/>
              </w:rPr>
              <w:t>»</w:t>
            </w:r>
          </w:p>
        </w:tc>
        <w:tc>
          <w:tcPr>
            <w:tcW w:w="3310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ind w:left="127" w:righ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Ввод в эксплуатацию комплекса, подготовка медицинских кадров для эксплуатации аналогичных комплексов в других городах. Пропускная способность 200-300 человек в год с перспективой увеличения ее до 1 500 пациентов в год на один синхротрон.</w:t>
            </w:r>
          </w:p>
        </w:tc>
      </w:tr>
      <w:tr w:rsidR="00A928A7" w:rsidRPr="00303991" w:rsidTr="003A4B26">
        <w:trPr>
          <w:trHeight w:val="799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" w:type="dxa"/>
            </w:tcMar>
            <w:vAlign w:val="center"/>
          </w:tcPr>
          <w:p w:rsidR="00A928A7" w:rsidRPr="00A928A7" w:rsidRDefault="00A928A7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" w:type="dxa"/>
            </w:tcMar>
            <w:vAlign w:val="center"/>
          </w:tcPr>
          <w:p w:rsidR="00A928A7" w:rsidRDefault="00A928A7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Создание Центра доклинических исследований лекарственных средств </w:t>
            </w:r>
          </w:p>
        </w:tc>
        <w:tc>
          <w:tcPr>
            <w:tcW w:w="9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" w:type="dxa"/>
            </w:tcMar>
            <w:vAlign w:val="center"/>
          </w:tcPr>
          <w:p w:rsidR="00A928A7" w:rsidRPr="00303991" w:rsidRDefault="00A928A7" w:rsidP="00CE0672">
            <w:pPr>
              <w:ind w:right="16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соответствии с подразделом 2.2 Плана мероприятий</w:t>
            </w:r>
          </w:p>
        </w:tc>
      </w:tr>
      <w:tr w:rsidR="00BC44FA" w:rsidRPr="00BC44FA" w:rsidTr="003A4B26">
        <w:tc>
          <w:tcPr>
            <w:tcW w:w="156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2121A5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3847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2121A5" w:rsidP="00A258D4">
            <w:pPr>
              <w:spacing w:beforeAutospacing="1" w:afterAutospacing="1"/>
              <w:ind w:left="78" w:right="127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Создание Инновационного научно-технологического центра (ИНТЦ) </w:t>
            </w: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Калужской области на базе филиала НИЯУ МИФИ в городе Обнинске</w:t>
            </w:r>
          </w:p>
        </w:tc>
        <w:tc>
          <w:tcPr>
            <w:tcW w:w="1658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F32E86" w:rsidP="00F32E86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 xml:space="preserve">Правительство Калужской </w:t>
            </w: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 xml:space="preserve">области, ГК </w:t>
            </w:r>
            <w:proofErr w:type="spellStart"/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Росатом</w:t>
            </w:r>
            <w:proofErr w:type="spellEnd"/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, НИЦ Курчатовский институт, Фонд «Центр стратегических разработок «Северо-Запад»</w:t>
            </w:r>
          </w:p>
        </w:tc>
        <w:tc>
          <w:tcPr>
            <w:tcW w:w="1670" w:type="dxa"/>
            <w:tcBorders>
              <w:bottom w:val="single" w:sz="4" w:space="0" w:color="00000A"/>
            </w:tcBorders>
            <w:vAlign w:val="center"/>
          </w:tcPr>
          <w:p w:rsidR="002121A5" w:rsidRPr="00BC44FA" w:rsidRDefault="002121A5" w:rsidP="00A258D4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lastRenderedPageBreak/>
              <w:t>НИЯУ МИФИ</w:t>
            </w:r>
          </w:p>
        </w:tc>
        <w:tc>
          <w:tcPr>
            <w:tcW w:w="1373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2121A5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2121A5" w:rsidP="00A258D4">
            <w:pPr>
              <w:spacing w:beforeAutospacing="1" w:afterAutospacing="1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>Согласно бюджетам</w:t>
            </w:r>
            <w:r w:rsidR="005E2565"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 </w:t>
            </w:r>
            <w:r w:rsidR="005E2565"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lastRenderedPageBreak/>
              <w:t>участников</w:t>
            </w:r>
          </w:p>
        </w:tc>
        <w:tc>
          <w:tcPr>
            <w:tcW w:w="3310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2121A5" w:rsidRPr="00BC44FA" w:rsidRDefault="002121A5" w:rsidP="002121A5">
            <w:pPr>
              <w:ind w:left="125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2018 год – создание концепции ИНТЦ базе филиала НИЯУ </w:t>
            </w: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МИФИ в городе Обнинске</w:t>
            </w:r>
            <w:r w:rsidR="00F32E86" w:rsidRPr="00BC44F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(концепция подготовлена и направлена )</w:t>
            </w: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2121A5" w:rsidRPr="00BC44FA" w:rsidRDefault="002121A5" w:rsidP="002121A5">
            <w:pPr>
              <w:ind w:left="127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2025 год – создание ИНТЦ базе филиала НИЯУ МИФИ в городе Обнинске.</w:t>
            </w:r>
          </w:p>
        </w:tc>
      </w:tr>
      <w:tr w:rsidR="00BC44FA" w:rsidRPr="00BC44FA" w:rsidTr="003A4B26">
        <w:tc>
          <w:tcPr>
            <w:tcW w:w="156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847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5525EE">
            <w:pPr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учебной лаборатории радиационного контроля и дозиметрии «Доза»</w:t>
            </w:r>
          </w:p>
        </w:tc>
        <w:tc>
          <w:tcPr>
            <w:tcW w:w="1658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A11903" w:rsidP="00F32E86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НИЯУ МИФИ , </w:t>
            </w:r>
            <w:r w:rsidR="006A1317"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организации НПК города</w:t>
            </w:r>
          </w:p>
        </w:tc>
        <w:tc>
          <w:tcPr>
            <w:tcW w:w="1670" w:type="dxa"/>
            <w:tcBorders>
              <w:bottom w:val="single" w:sz="4" w:space="0" w:color="00000A"/>
            </w:tcBorders>
            <w:vAlign w:val="center"/>
          </w:tcPr>
          <w:p w:rsidR="005525EE" w:rsidRPr="00BC44FA" w:rsidRDefault="006A1317" w:rsidP="00A258D4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6A1317" w:rsidP="00A258D4">
            <w:pPr>
              <w:spacing w:beforeAutospacing="1" w:afterAutospacing="1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3310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A11903" w:rsidP="002121A5">
            <w:pPr>
              <w:ind w:left="125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Действующая лаборатория</w:t>
            </w:r>
          </w:p>
        </w:tc>
      </w:tr>
      <w:tr w:rsidR="00BC44FA" w:rsidRPr="00BC44FA" w:rsidTr="003A4B26">
        <w:tc>
          <w:tcPr>
            <w:tcW w:w="156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3847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5525EE">
            <w:pPr>
              <w:spacing w:beforeAutospacing="1" w:afterAutospacing="1"/>
              <w:ind w:left="78" w:right="127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Открытие ресурсного центра по освоению компетенций работы на объектах неэнергетического применения ядерных технологий и формированию культуры безопасности на предприятиях ЯЭК</w:t>
            </w:r>
          </w:p>
        </w:tc>
        <w:tc>
          <w:tcPr>
            <w:tcW w:w="1658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A11903" w:rsidP="00F32E86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НИЯУ МИФИ , </w:t>
            </w:r>
            <w:r w:rsidR="006A1317"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организации НПК города</w:t>
            </w:r>
          </w:p>
        </w:tc>
        <w:tc>
          <w:tcPr>
            <w:tcW w:w="1670" w:type="dxa"/>
            <w:tcBorders>
              <w:bottom w:val="single" w:sz="4" w:space="0" w:color="00000A"/>
            </w:tcBorders>
            <w:vAlign w:val="center"/>
          </w:tcPr>
          <w:p w:rsidR="005525EE" w:rsidRPr="00BC44FA" w:rsidRDefault="006A1317" w:rsidP="00A258D4">
            <w:pPr>
              <w:spacing w:beforeAutospacing="1" w:afterAutospacing="1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5525EE" w:rsidP="00A258D4">
            <w:pPr>
              <w:spacing w:beforeAutospacing="1" w:afterAutospacing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2018-2019</w:t>
            </w:r>
          </w:p>
        </w:tc>
        <w:tc>
          <w:tcPr>
            <w:tcW w:w="1655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6A1317" w:rsidP="00A258D4">
            <w:pPr>
              <w:spacing w:beforeAutospacing="1" w:afterAutospacing="1"/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>25,5</w:t>
            </w:r>
          </w:p>
        </w:tc>
        <w:tc>
          <w:tcPr>
            <w:tcW w:w="3310" w:type="dxa"/>
            <w:tcBorders>
              <w:bottom w:val="single" w:sz="4" w:space="0" w:color="00000A"/>
            </w:tcBorders>
            <w:tcMar>
              <w:left w:w="5" w:type="dxa"/>
            </w:tcMar>
            <w:vAlign w:val="center"/>
          </w:tcPr>
          <w:p w:rsidR="005525EE" w:rsidRPr="00BC44FA" w:rsidRDefault="00A11903" w:rsidP="002121A5">
            <w:pPr>
              <w:ind w:left="125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Действующий ресурсный центр</w:t>
            </w:r>
          </w:p>
        </w:tc>
      </w:tr>
      <w:tr w:rsidR="009242A8" w:rsidRPr="00303991" w:rsidTr="003A4B26">
        <w:tc>
          <w:tcPr>
            <w:tcW w:w="1565" w:type="dxa"/>
            <w:tcBorders>
              <w:top w:val="single" w:sz="4" w:space="0" w:color="00000A"/>
            </w:tcBorders>
            <w:shd w:val="clear" w:color="auto" w:fill="EFEFEF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 xml:space="preserve">2. </w:t>
            </w:r>
          </w:p>
        </w:tc>
        <w:tc>
          <w:tcPr>
            <w:tcW w:w="13513" w:type="dxa"/>
            <w:gridSpan w:val="6"/>
            <w:tcBorders>
              <w:top w:val="single" w:sz="4" w:space="0" w:color="00000A"/>
            </w:tcBorders>
            <w:shd w:val="clear" w:color="auto" w:fill="EFEFEF"/>
            <w:tcMar>
              <w:left w:w="5" w:type="dxa"/>
            </w:tcMar>
            <w:vAlign w:val="center"/>
          </w:tcPr>
          <w:p w:rsidR="009242A8" w:rsidRDefault="009242A8" w:rsidP="00CE0672">
            <w:pPr>
              <w:pStyle w:val="-1"/>
              <w:spacing w:before="120" w:line="240" w:lineRule="auto"/>
              <w:ind w:firstLine="0"/>
              <w:rPr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Кластерное развитие: образование, фармацевтика и биомедицина, новые материалы.</w:t>
            </w:r>
          </w:p>
        </w:tc>
      </w:tr>
      <w:tr w:rsidR="009242A8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9242A8" w:rsidRPr="00303991" w:rsidRDefault="009242A8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2.1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  <w:vAlign w:val="center"/>
          </w:tcPr>
          <w:p w:rsidR="009242A8" w:rsidRDefault="009242A8" w:rsidP="00CE0672">
            <w:pPr>
              <w:pStyle w:val="-1"/>
              <w:spacing w:before="120" w:line="240" w:lineRule="auto"/>
              <w:ind w:firstLine="0"/>
              <w:rPr>
                <w:rFonts w:cs="Times New Roman"/>
                <w:b/>
                <w:bCs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Создание и развитие образовательного кластера</w:t>
            </w:r>
          </w:p>
        </w:tc>
      </w:tr>
      <w:tr w:rsidR="00B05209" w:rsidRPr="00B05209" w:rsidTr="003A4B26">
        <w:tc>
          <w:tcPr>
            <w:tcW w:w="1565" w:type="dxa"/>
            <w:tcMar>
              <w:left w:w="5" w:type="dxa"/>
            </w:tcMar>
            <w:vAlign w:val="center"/>
          </w:tcPr>
          <w:p w:rsidR="009242A8" w:rsidRPr="00B05209" w:rsidRDefault="009242A8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9242A8" w:rsidRPr="00B05209" w:rsidRDefault="009242A8" w:rsidP="00CE0672">
            <w:pPr>
              <w:pStyle w:val="12"/>
              <w:ind w:left="78" w:right="127"/>
              <w:jc w:val="both"/>
              <w:rPr>
                <w:rFonts w:ascii="Times New Roman" w:hAnsi="Times New Roman"/>
                <w:color w:val="auto"/>
              </w:rPr>
            </w:pPr>
            <w:r w:rsidRPr="00B05209">
              <w:rPr>
                <w:rFonts w:ascii="Times New Roman" w:hAnsi="Times New Roman"/>
                <w:color w:val="auto"/>
              </w:rPr>
              <w:t>Создание Детского технопарка</w:t>
            </w:r>
            <w:r w:rsidR="00B93A37" w:rsidRPr="00B05209">
              <w:rPr>
                <w:rFonts w:ascii="Times New Roman" w:hAnsi="Times New Roman"/>
                <w:color w:val="auto"/>
              </w:rPr>
              <w:t xml:space="preserve"> «</w:t>
            </w:r>
            <w:proofErr w:type="spellStart"/>
            <w:r w:rsidR="00B93A37" w:rsidRPr="00B05209">
              <w:rPr>
                <w:rFonts w:ascii="Times New Roman" w:hAnsi="Times New Roman"/>
                <w:color w:val="auto"/>
              </w:rPr>
              <w:t>Кванториум</w:t>
            </w:r>
            <w:proofErr w:type="spellEnd"/>
            <w:r w:rsidR="00B93A37" w:rsidRPr="00B05209">
              <w:rPr>
                <w:rFonts w:ascii="Times New Roman" w:hAnsi="Times New Roman"/>
                <w:color w:val="auto"/>
              </w:rPr>
              <w:t>» в рамках реализации федерального проекта «Успех каждого ребёнка» национального проекта «Образование»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737878" w:rsidRPr="00B05209" w:rsidRDefault="00737878" w:rsidP="00737878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9242A8" w:rsidRPr="00B05209" w:rsidRDefault="00737878" w:rsidP="00737878">
            <w:pPr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организации НПК города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9242A8" w:rsidRPr="00B05209" w:rsidRDefault="00B93A37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образования и науки Калужской области (по согласованию), </w:t>
            </w:r>
            <w:r w:rsidR="009242A8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="009242A8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9242A8" w:rsidRPr="00B05209" w:rsidRDefault="009242A8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9242A8" w:rsidRPr="00B05209" w:rsidRDefault="00B93A37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9242A8" w:rsidRPr="00B05209" w:rsidRDefault="00737878" w:rsidP="00737878">
            <w:pPr>
              <w:ind w:left="12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>Реализация системы инженерного образования учащихся по современным программам, обеспечивающим достижение образовательных результатов, необходимых для жизни и работы в инновационной экономике. Выстраивание сетевого взаимодействия в рамках инженерного образования учащихся. Расширение форм сотрудничества с ВУЗами и ООСПО, представителями бизнес-сообщества.</w:t>
            </w:r>
          </w:p>
        </w:tc>
      </w:tr>
      <w:tr w:rsidR="00B05209" w:rsidRPr="00B05209" w:rsidTr="003A4B26">
        <w:tc>
          <w:tcPr>
            <w:tcW w:w="1565" w:type="dxa"/>
            <w:tcMar>
              <w:left w:w="5" w:type="dxa"/>
            </w:tcMar>
            <w:vAlign w:val="center"/>
          </w:tcPr>
          <w:p w:rsidR="00B93A37" w:rsidRPr="00B05209" w:rsidRDefault="00737878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B93A37" w:rsidRPr="00B05209" w:rsidRDefault="00737878" w:rsidP="00CE0672">
            <w:pPr>
              <w:pStyle w:val="12"/>
              <w:ind w:left="78" w:right="127"/>
              <w:jc w:val="both"/>
              <w:rPr>
                <w:rFonts w:ascii="Times New Roman" w:hAnsi="Times New Roman"/>
                <w:color w:val="auto"/>
              </w:rPr>
            </w:pPr>
            <w:r w:rsidRPr="00B05209">
              <w:rPr>
                <w:rFonts w:ascii="Times New Roman" w:hAnsi="Times New Roman"/>
                <w:color w:val="auto"/>
              </w:rPr>
              <w:t xml:space="preserve">Создание и развитие на территории города Обнинска распределённого </w:t>
            </w:r>
            <w:r w:rsidRPr="00B05209">
              <w:rPr>
                <w:rFonts w:ascii="Times New Roman" w:hAnsi="Times New Roman"/>
                <w:color w:val="auto"/>
              </w:rPr>
              <w:lastRenderedPageBreak/>
              <w:t xml:space="preserve">детского технологического парка с </w:t>
            </w:r>
            <w:proofErr w:type="spellStart"/>
            <w:r w:rsidRPr="00B05209">
              <w:rPr>
                <w:rFonts w:ascii="Times New Roman" w:hAnsi="Times New Roman"/>
                <w:color w:val="auto"/>
              </w:rPr>
              <w:t>вовлечённостью</w:t>
            </w:r>
            <w:proofErr w:type="spellEnd"/>
            <w:r w:rsidRPr="00B05209">
              <w:rPr>
                <w:rFonts w:ascii="Times New Roman" w:hAnsi="Times New Roman"/>
                <w:color w:val="auto"/>
              </w:rPr>
              <w:t xml:space="preserve"> в его работу всех учебных заведений, работающих на территории города, а также государственных научных центров, НИИ и технологических предприятий города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737878" w:rsidRPr="00B05209" w:rsidRDefault="00737878" w:rsidP="00737878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B93A37" w:rsidRPr="00B05209" w:rsidRDefault="00737878" w:rsidP="0073787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организации НПК города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B93A37" w:rsidRPr="00B05209" w:rsidRDefault="00737878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Министерство образования и </w:t>
            </w: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науки Калужской области (по согласованию), Администрация </w:t>
            </w:r>
            <w:proofErr w:type="spellStart"/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B93A37" w:rsidRPr="00B05209" w:rsidRDefault="00737878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B93A37" w:rsidRPr="00B05209" w:rsidRDefault="00737878" w:rsidP="00CE067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B93A37" w:rsidRPr="00B05209" w:rsidRDefault="00D846AB" w:rsidP="00CE0672">
            <w:pPr>
              <w:ind w:left="12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>Создание:</w:t>
            </w:r>
          </w:p>
          <w:p w:rsidR="00D846AB" w:rsidRPr="00B05209" w:rsidRDefault="00D846AB" w:rsidP="00CE0672">
            <w:pPr>
              <w:ind w:left="12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>- 50 рабочих мест,</w:t>
            </w:r>
          </w:p>
          <w:p w:rsidR="00D846AB" w:rsidRPr="00B05209" w:rsidRDefault="00D846AB" w:rsidP="00CE0672">
            <w:pPr>
              <w:ind w:left="12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- 2000 вовлечённых в реализацию проекта школьников</w:t>
            </w:r>
          </w:p>
        </w:tc>
      </w:tr>
      <w:tr w:rsidR="00B05209" w:rsidRPr="00B05209" w:rsidTr="003A4B26">
        <w:tc>
          <w:tcPr>
            <w:tcW w:w="1565" w:type="dxa"/>
            <w:tcMar>
              <w:left w:w="5" w:type="dxa"/>
            </w:tcMar>
            <w:vAlign w:val="center"/>
          </w:tcPr>
          <w:p w:rsidR="009242A8" w:rsidRPr="00B05209" w:rsidRDefault="00F932AE" w:rsidP="00AB69E5">
            <w:pPr>
              <w:tabs>
                <w:tab w:val="left" w:pos="630"/>
              </w:tabs>
              <w:ind w:right="-5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9242A8" w:rsidRPr="00B05209" w:rsidRDefault="009242A8" w:rsidP="00CE0672">
            <w:pPr>
              <w:ind w:left="78" w:right="127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B05209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Строительство детских дошкольных учреждений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9242A8" w:rsidRPr="00B05209" w:rsidRDefault="002B1B6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образования и науки Калужской области (по согласованию), </w:t>
            </w:r>
            <w:r w:rsidR="009242A8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="009242A8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9242A8" w:rsidRPr="00B05209" w:rsidRDefault="009242A8" w:rsidP="002E0EF3">
            <w:pPr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</w:t>
            </w:r>
            <w:r w:rsidR="002E0EF3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9242A8" w:rsidRPr="00B05209" w:rsidRDefault="00B05209" w:rsidP="00B052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2B62F4"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B052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715C9C" w:rsidRPr="00B05209" w:rsidRDefault="002B62F4" w:rsidP="002B62F4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>Исключение дефицита мест в дошкольных образовательных учреждениях</w:t>
            </w:r>
            <w:r w:rsidR="00B05209" w:rsidRPr="00B05209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B05209" w:rsidRPr="00B05209" w:rsidRDefault="00B05209" w:rsidP="002B62F4">
            <w:pPr>
              <w:ind w:left="127" w:right="164"/>
              <w:jc w:val="both"/>
              <w:rPr>
                <w:color w:val="auto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>Ввод в эксплуатацию ДДУ на ул. Пирогова, д.12 и д.14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ind w:left="78" w:right="127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D467C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Строительство общеобразовательных школ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D467CE" w:rsidRDefault="00A7718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A771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образования и науки Калужской области (по согласованию), </w:t>
            </w:r>
            <w:r w:rsidR="004C27E9"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="004C27E9"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="004C27E9"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="004C27E9"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B05209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2018-202</w:t>
            </w:r>
            <w:r w:rsidR="00B05209" w:rsidRPr="00B0520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3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B05209" w:rsidP="00B05209">
            <w:pPr>
              <w:jc w:val="center"/>
              <w:rPr>
                <w:rFonts w:ascii="Times New Roman" w:hAnsi="Times New Roman" w:cs="Times New Roman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310</w:t>
            </w:r>
            <w:r w:rsidR="004C27E9"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945862" w:rsidRPr="00B05209" w:rsidRDefault="00945862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Исключение </w:t>
            </w:r>
            <w:r w:rsidR="00A77186">
              <w:rPr>
                <w:rFonts w:ascii="Times New Roman" w:hAnsi="Times New Roman"/>
                <w:color w:val="auto"/>
                <w:sz w:val="20"/>
                <w:szCs w:val="20"/>
              </w:rPr>
              <w:t>второй смены</w:t>
            </w:r>
            <w:r w:rsidRPr="00B0520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образовательных учреждениях. </w:t>
            </w:r>
          </w:p>
          <w:p w:rsidR="004C27E9" w:rsidRPr="00303991" w:rsidRDefault="004C27E9" w:rsidP="00150DB6">
            <w:pPr>
              <w:ind w:left="127" w:right="164"/>
              <w:jc w:val="both"/>
            </w:pP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2.1.5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ind w:left="78" w:right="127"/>
              <w:rPr>
                <w:rFonts w:ascii="Times New Roman" w:hAnsi="Times New Roman"/>
                <w:color w:val="auto"/>
              </w:rPr>
            </w:pPr>
            <w:r w:rsidRPr="00D467C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Развитие Инженерно-физического института биомедицины НИЯУ МИФИ. 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ind w:left="127" w:right="16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подразделом 2.2 Плана мероприятий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2.1.6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</w:rPr>
              <w:t xml:space="preserve">Организация Научно-образовательного центра </w:t>
            </w:r>
            <w:r w:rsidRPr="00D467CE">
              <w:rPr>
                <w:rFonts w:ascii="Times New Roman" w:hAnsi="Times New Roman" w:cs="Times New Roman"/>
                <w:bCs/>
                <w:color w:val="auto"/>
              </w:rPr>
              <w:t xml:space="preserve">«Технологии материалов </w:t>
            </w:r>
            <w:proofErr w:type="spellStart"/>
            <w:r w:rsidRPr="00D467CE">
              <w:rPr>
                <w:rFonts w:ascii="Times New Roman" w:hAnsi="Times New Roman" w:cs="Times New Roman"/>
                <w:bCs/>
                <w:color w:val="auto"/>
              </w:rPr>
              <w:t>фотоники</w:t>
            </w:r>
            <w:proofErr w:type="spellEnd"/>
            <w:r w:rsidRPr="00D467CE">
              <w:rPr>
                <w:rFonts w:ascii="Times New Roman" w:hAnsi="Times New Roman" w:cs="Times New Roman"/>
                <w:bCs/>
                <w:color w:val="auto"/>
              </w:rPr>
              <w:t xml:space="preserve"> и композитов»</w:t>
            </w:r>
          </w:p>
        </w:tc>
        <w:tc>
          <w:tcPr>
            <w:tcW w:w="9666" w:type="dxa"/>
            <w:gridSpan w:val="5"/>
            <w:vMerge w:val="restart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ind w:right="22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подразделом 2.3 Плана мероприятий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4C27E9" w:rsidRDefault="004C27E9" w:rsidP="00CE0672">
            <w:pPr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4C27E9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2.1.7.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/>
                <w:color w:val="auto"/>
              </w:rPr>
              <w:t>Организация системы подготовки кадров совместно с Европейским керамическим кластером (ЕКК)</w:t>
            </w:r>
          </w:p>
        </w:tc>
        <w:tc>
          <w:tcPr>
            <w:tcW w:w="9666" w:type="dxa"/>
            <w:gridSpan w:val="5"/>
            <w:vMerge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ind w:right="2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C27E9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2.2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spacing w:before="120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кластера: «Фармацевтика, биотехнологии и биомедицина»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Создание Центра доклинических исследований лекарственных средств 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МРНЦ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МРНЦ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 xml:space="preserve">Ввод в эксплуатацию центра общей площадью </w:t>
            </w:r>
            <w:smartTag w:uri="urn:schemas-microsoft-com:office:smarttags" w:element="metricconverter">
              <w:smartTagPr>
                <w:attr w:name="ProductID" w:val="900000 м2"/>
              </w:smartTagPr>
              <w:r w:rsidRPr="00303991">
                <w:rPr>
                  <w:rFonts w:ascii="Times New Roman" w:hAnsi="Times New Roman"/>
                  <w:sz w:val="20"/>
                  <w:szCs w:val="20"/>
                </w:rPr>
                <w:t>13000 м</w:t>
              </w:r>
              <w:r w:rsidRPr="00303991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303991">
              <w:rPr>
                <w:rFonts w:ascii="Times New Roman" w:hAnsi="Times New Roman"/>
                <w:sz w:val="20"/>
                <w:szCs w:val="20"/>
              </w:rPr>
              <w:t>.</w:t>
            </w:r>
            <w:r w:rsidRPr="0030399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 xml:space="preserve">Выпуск 15 инновационных готовых лекарственных форм, 5 инновационных лекарственных препаратов. Опытное производство до 10 000 штук/год «холодных наборов» генераторов </w:t>
            </w:r>
            <w:proofErr w:type="spellStart"/>
            <w:r w:rsidRPr="00303991">
              <w:rPr>
                <w:rFonts w:ascii="Times New Roman" w:hAnsi="Times New Roman"/>
                <w:sz w:val="20"/>
                <w:szCs w:val="20"/>
              </w:rPr>
              <w:t>радиофарпрепаратов</w:t>
            </w:r>
            <w:proofErr w:type="spellEnd"/>
            <w:r w:rsidRPr="0030399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A928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лаборатории по моделированию производства </w:t>
            </w:r>
            <w:proofErr w:type="spellStart"/>
            <w:r>
              <w:rPr>
                <w:rFonts w:ascii="Times New Roman" w:hAnsi="Times New Roman"/>
              </w:rPr>
              <w:t>радиофармпрепаратов</w:t>
            </w:r>
            <w:proofErr w:type="spellEnd"/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НИЯУ МИФИ, АИРКО,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НИЯУ МИФИ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Ввод в эксплуатацию лаборатории в составе Центра практического обучения работников фармацевтической промышленности НИЯУ МИФИ  для выпуска специалистов по магистерской программе «Фармацевтическое и радиофармацевтическое материаловедение»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контрольно-аналитической лаборатории</w:t>
            </w:r>
            <w:r w:rsidRPr="00303991">
              <w:rPr>
                <w:b/>
                <w:sz w:val="22"/>
                <w:szCs w:val="22"/>
              </w:rPr>
              <w:t xml:space="preserve"> </w:t>
            </w: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санитарно-гигиенических  и экологических  измерений предприятий КФК-кластера</w:t>
            </w:r>
          </w:p>
          <w:p w:rsidR="004C27E9" w:rsidRPr="00303991" w:rsidRDefault="004C27E9" w:rsidP="00CE0672">
            <w:pPr>
              <w:ind w:left="78" w:right="127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Парк активных молекул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 xml:space="preserve">Согласно бюджету </w:t>
            </w:r>
            <w:r w:rsidR="00320329">
              <w:rPr>
                <w:rFonts w:ascii="Times" w:hAnsi="Times" w:cs="Times New Roman"/>
                <w:sz w:val="22"/>
                <w:szCs w:val="22"/>
              </w:rPr>
              <w:t xml:space="preserve">участников </w:t>
            </w:r>
            <w:r w:rsidRPr="00303991">
              <w:rPr>
                <w:rFonts w:ascii="Times" w:hAnsi="Times" w:cs="Times New Roman"/>
                <w:sz w:val="22"/>
                <w:szCs w:val="22"/>
              </w:rPr>
              <w:t>КФК-кластера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Прогноз  возможных последствий в части экологической экспертизы для строящихся предприятий фармацевтического кластера;</w:t>
            </w:r>
          </w:p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 xml:space="preserve">Решение проблемы эксплуатации опасных объектов, взаимодействия с опасными и ядовитыми веществами  при реализации требований замкнутых принципов производства на малых и средних фармацевтических предприятиях КФК. 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iCs/>
                <w:color w:val="00000A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Создание Научно-технологического делового центра «Инновационные медицинские разработки».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right="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В соответствии с подразделом 2.4 Плана мероприятий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78" w:right="127"/>
              <w:rPr>
                <w:rFonts w:ascii="Times New Roman" w:hAnsi="Times New Roman"/>
              </w:rPr>
            </w:pPr>
            <w:r w:rsidRPr="00303991">
              <w:rPr>
                <w:rFonts w:ascii="Times New Roman" w:hAnsi="Times New Roman"/>
                <w:sz w:val="22"/>
                <w:szCs w:val="22"/>
              </w:rPr>
              <w:t xml:space="preserve">Развитие Инженерно-физического института биомедицины НИЯУ МИФИ. 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НИЯУ МИФИ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 xml:space="preserve">Выпуск востребованных  специалистов, способных работать на стыке высокотехнологичной инженерии и медицины; сокращение разрыва между образованием, наукой, производством и практической медициной; интегрированность в мировой научный и образовательный процесс в области биомедицинских технологий; создание Центра трансляционной медицины.    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A928A7" w:rsidRDefault="004C27E9" w:rsidP="00CE0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8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2.2.7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Проведение</w:t>
            </w:r>
            <w:r w:rsidR="00A7718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ежегодного </w:t>
            </w:r>
            <w:r w:rsidRPr="0030399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международного форума </w:t>
            </w:r>
            <w:proofErr w:type="spellStart"/>
            <w:r w:rsidRPr="0030399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Фармэволюция</w:t>
            </w:r>
            <w:proofErr w:type="spellEnd"/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АИРКО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АИРКО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Обмен информацией о новых технологиях;</w:t>
            </w:r>
          </w:p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Приток новых инвестиций;</w:t>
            </w:r>
          </w:p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 xml:space="preserve">Повышение инвестиционной привлекательности отрасли. </w:t>
            </w:r>
          </w:p>
        </w:tc>
      </w:tr>
      <w:tr w:rsidR="00BC44FA" w:rsidRPr="00BC44FA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BC44FA" w:rsidRDefault="004C27E9" w:rsidP="00FC537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2.2.8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BC44FA" w:rsidRDefault="004C27E9" w:rsidP="00040DD9">
            <w:pPr>
              <w:ind w:left="78" w:right="12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Развитие научно-образовательного центра «Инновационная </w:t>
            </w:r>
            <w:proofErr w:type="spellStart"/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биофармацевтика</w:t>
            </w:r>
            <w:proofErr w:type="spellEnd"/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BC44FA" w:rsidRDefault="004C27E9" w:rsidP="00040DD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КГУ им. К.Э. Циолковского, 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НП АК «ПАМ»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бюджету </w:t>
            </w:r>
            <w:r w:rsidRPr="00BC44FA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КГУ им. К.Э. Циолковского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BC44FA" w:rsidRDefault="004C27E9" w:rsidP="000F72C5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Создание  на территории КФК-кластера «уникальных» для РФ центров превосходства по прорывным технологиям </w:t>
            </w:r>
            <w:proofErr w:type="spellStart"/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нанотераностики</w:t>
            </w:r>
            <w:proofErr w:type="spellEnd"/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для ядерной медицины, разработке методов материалов для ранней диагностики и терапии онкологических заболеваний, разработке методов получения и контроля качества радионуклидов на основе 90Y и 188Re.</w:t>
            </w:r>
          </w:p>
        </w:tc>
      </w:tr>
      <w:tr w:rsidR="00BC44FA" w:rsidRPr="00BC44FA" w:rsidTr="003A4B26">
        <w:trPr>
          <w:trHeight w:val="793"/>
        </w:trPr>
        <w:tc>
          <w:tcPr>
            <w:tcW w:w="1565" w:type="dxa"/>
            <w:tcMar>
              <w:left w:w="5" w:type="dxa"/>
            </w:tcMar>
            <w:vAlign w:val="center"/>
          </w:tcPr>
          <w:p w:rsidR="004C27E9" w:rsidRPr="00BC44FA" w:rsidRDefault="004C27E9" w:rsidP="00A928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2.2.9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pStyle w:val="ConsPlusNormal"/>
              <w:jc w:val="both"/>
              <w:rPr>
                <w:bCs/>
                <w:i w:val="0"/>
                <w:sz w:val="22"/>
                <w:szCs w:val="22"/>
              </w:rPr>
            </w:pPr>
            <w:r w:rsidRPr="00BC44FA">
              <w:rPr>
                <w:bCs/>
                <w:i w:val="0"/>
                <w:sz w:val="22"/>
                <w:szCs w:val="22"/>
              </w:rPr>
              <w:t>Реализация не менее 5 новых инвестиционных проектов по расширению кластера до 2020 года</w:t>
            </w:r>
          </w:p>
          <w:p w:rsidR="004C27E9" w:rsidRPr="00BC44FA" w:rsidRDefault="004C27E9" w:rsidP="0007130E">
            <w:pPr>
              <w:ind w:left="78" w:right="127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АИРКО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бюджету </w:t>
            </w:r>
            <w:r w:rsidR="00320329"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участников </w:t>
            </w: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>КФК-кластера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Создание не менее 5 новых производств в составе КФК-кластера.</w:t>
            </w:r>
          </w:p>
        </w:tc>
      </w:tr>
      <w:tr w:rsidR="00BC44FA" w:rsidRPr="00BC44FA" w:rsidTr="003A4B26">
        <w:trPr>
          <w:trHeight w:val="456"/>
        </w:trPr>
        <w:tc>
          <w:tcPr>
            <w:tcW w:w="1565" w:type="dxa"/>
            <w:tcMar>
              <w:left w:w="5" w:type="dxa"/>
            </w:tcMar>
            <w:vAlign w:val="center"/>
          </w:tcPr>
          <w:p w:rsidR="004C27E9" w:rsidRPr="00BC44FA" w:rsidRDefault="004C27E9" w:rsidP="00A928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2.2.10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pStyle w:val="ConsPlusNormal"/>
              <w:jc w:val="both"/>
              <w:rPr>
                <w:bCs/>
                <w:i w:val="0"/>
                <w:sz w:val="22"/>
                <w:szCs w:val="22"/>
              </w:rPr>
            </w:pPr>
            <w:r w:rsidRPr="00BC44FA">
              <w:rPr>
                <w:bCs/>
                <w:i w:val="0"/>
                <w:sz w:val="22"/>
                <w:szCs w:val="22"/>
              </w:rPr>
              <w:t xml:space="preserve">Развитие исследовательского научно-образовательного центра «Виртуальные и </w:t>
            </w:r>
            <w:proofErr w:type="spellStart"/>
            <w:r w:rsidRPr="00BC44FA">
              <w:rPr>
                <w:bCs/>
                <w:i w:val="0"/>
                <w:sz w:val="22"/>
                <w:szCs w:val="22"/>
              </w:rPr>
              <w:t>симуляционные</w:t>
            </w:r>
            <w:proofErr w:type="spellEnd"/>
            <w:r w:rsidRPr="00BC44FA">
              <w:rPr>
                <w:bCs/>
                <w:i w:val="0"/>
                <w:sz w:val="22"/>
                <w:szCs w:val="22"/>
              </w:rPr>
              <w:t xml:space="preserve"> технологии в медицинском образовании»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НИЯУ «МИФИ», АИРКО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бюджету </w:t>
            </w: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НИЯУ «МИФИ»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BC44FA" w:rsidRDefault="004C27E9" w:rsidP="00072D14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t>Подготовка врачей-специалистов (особенно хирургов и специалистов неонатальных центров) должно основываться на многократной отработке практических навыков в условиях, приближенных к врачебному кабинету (операционной), но безопасной для пациентов. Только такой подход может гарантировать бюджетную эффективность и внедрение новых, безопасных для пациентов технологий.</w:t>
            </w:r>
          </w:p>
        </w:tc>
      </w:tr>
      <w:tr w:rsidR="00BC44FA" w:rsidRPr="00BC44FA" w:rsidTr="003A4B26">
        <w:trPr>
          <w:trHeight w:val="793"/>
        </w:trPr>
        <w:tc>
          <w:tcPr>
            <w:tcW w:w="1565" w:type="dxa"/>
            <w:tcMar>
              <w:left w:w="5" w:type="dxa"/>
            </w:tcMar>
            <w:vAlign w:val="center"/>
          </w:tcPr>
          <w:p w:rsidR="004C27E9" w:rsidRPr="00BC44FA" w:rsidRDefault="004C27E9" w:rsidP="00A928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2.2.11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pStyle w:val="ConsPlusNormal"/>
              <w:jc w:val="both"/>
              <w:rPr>
                <w:bCs/>
                <w:i w:val="0"/>
                <w:sz w:val="22"/>
                <w:szCs w:val="22"/>
              </w:rPr>
            </w:pPr>
            <w:r w:rsidRPr="00BC44FA">
              <w:rPr>
                <w:bCs/>
                <w:i w:val="0"/>
                <w:sz w:val="22"/>
                <w:szCs w:val="22"/>
              </w:rPr>
              <w:t xml:space="preserve">Организация программ подготовки кадров и повышения квалификации  (в рамках плана деятельности </w:t>
            </w:r>
            <w:r w:rsidRPr="00BC44FA">
              <w:rPr>
                <w:bCs/>
                <w:i w:val="0"/>
                <w:sz w:val="22"/>
                <w:szCs w:val="22"/>
              </w:rPr>
              <w:lastRenderedPageBreak/>
              <w:t>специализированной организации кластера,  центра кластерного развития Калужской области)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Участники КФК-кластера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BC44FA" w:rsidRDefault="004C27E9" w:rsidP="00CE0672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/>
                <w:color w:val="auto"/>
                <w:sz w:val="22"/>
                <w:szCs w:val="22"/>
              </w:rPr>
              <w:t>АИРКО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BC44FA" w:rsidRDefault="004C27E9" w:rsidP="001148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2019-2021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BC44FA" w:rsidRDefault="004C27E9" w:rsidP="00E030C5">
            <w:pPr>
              <w:jc w:val="center"/>
              <w:rPr>
                <w:rFonts w:ascii="Times" w:hAnsi="Times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бюджетам предприятий на </w:t>
            </w:r>
            <w:r w:rsidRPr="00BC44FA">
              <w:rPr>
                <w:rFonts w:ascii="Times" w:hAnsi="Times" w:cs="Times New Roman"/>
                <w:color w:val="auto"/>
                <w:sz w:val="22"/>
                <w:szCs w:val="22"/>
              </w:rPr>
              <w:lastRenderedPageBreak/>
              <w:t>обучение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BC44FA" w:rsidRDefault="004C27E9" w:rsidP="00041D20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Реализация мероприятия предполагает обучение сотрудников предприятий-</w:t>
            </w:r>
            <w:r w:rsidRPr="00BC44F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участников в ведущих профильных образовательных учреждениях РФ, в том числе: «Научный центр экспертизы средств медицинского применения», «Российский университет дружбы народов», «Санкт-Петербургская химико-фармацевтическая академия», «Российская медицинская академия последипломного образования» МЗ РФ и т.д. Планируется подготовить и переподготовить в интересах участников кластера не менее 100 человек ежегодно.</w:t>
            </w:r>
          </w:p>
        </w:tc>
      </w:tr>
      <w:tr w:rsidR="004C27E9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lastRenderedPageBreak/>
              <w:t>2.3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кластера: «Авиационно-космических технологий полимерных композиционных материалов и конструкций».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Создание Калужского керамического центра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</w:rPr>
            </w:pPr>
            <w:r w:rsidRPr="00303991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Участники АКОТЕХ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ЗАО «ЭКОН»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2017-2018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</w:t>
            </w:r>
          </w:p>
          <w:p w:rsidR="004C27E9" w:rsidRPr="00303991" w:rsidRDefault="004C27E9" w:rsidP="00CE0672">
            <w:pPr>
              <w:jc w:val="center"/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 xml:space="preserve"> ЗАО «ЭКОН</w:t>
            </w: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color w:val="000000"/>
                <w:sz w:val="20"/>
                <w:szCs w:val="20"/>
              </w:rPr>
              <w:t>Ввод в эксплуатацию здания площадью  500 м</w:t>
            </w:r>
            <w:r w:rsidRPr="0030399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03991">
              <w:rPr>
                <w:rFonts w:ascii="Times New Roman" w:hAnsi="Times New Roman"/>
                <w:color w:val="000000"/>
                <w:sz w:val="20"/>
                <w:szCs w:val="20"/>
              </w:rPr>
              <w:t>. Создание 20-30 новых технологий изготовления изделий из различных керамических материалов для обеспечения потребностей базовых отраслей промышленности.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Развитие Регионального выставочного центра продукции из композиционных материалов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</w:rPr>
            </w:pPr>
            <w:r w:rsidRPr="00303991">
              <w:rPr>
                <w:rFonts w:ascii="Times New Roman" w:hAnsi="Times New Roman" w:cs="Times New Roman"/>
                <w:bCs/>
                <w:sz w:val="22"/>
                <w:szCs w:val="22"/>
              </w:rPr>
              <w:t>Участники АКОТЕХ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НПП «Полет»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2017-2018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</w:t>
            </w:r>
          </w:p>
          <w:p w:rsidR="004C27E9" w:rsidRPr="00303991" w:rsidRDefault="004C27E9" w:rsidP="00CE0672">
            <w:pPr>
              <w:jc w:val="center"/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 xml:space="preserve"> НПП «Полет</w:t>
            </w: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Обмен информацией о новых технологиях;</w:t>
            </w:r>
          </w:p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Приток новых инвестиций;</w:t>
            </w:r>
          </w:p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 xml:space="preserve">Повышение инвестиционной привлекательности отрасли. 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Организация Научно-образовательн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  <w:color w:val="00000A"/>
              </w:rPr>
              <w:t xml:space="preserve"> центра </w:t>
            </w:r>
            <w:r>
              <w:rPr>
                <w:rFonts w:ascii="Times New Roman" w:hAnsi="Times New Roman" w:cs="Times New Roman"/>
                <w:bCs/>
                <w:color w:val="00000A"/>
              </w:rPr>
              <w:t xml:space="preserve">«Технологии материалов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фотоники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и композитов»</w:t>
            </w:r>
          </w:p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sz w:val="22"/>
                <w:szCs w:val="22"/>
              </w:rPr>
              <w:t>НИЯУ МИФИ, участники кластера АКОТЕХ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НИЯУ МИФИ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20 специалистов в год, начиная с 2017 года. Развитие методик исследований и разработок композитов широкого назначения.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системы подготовки специализированных кадров по полимерным композиционным </w:t>
            </w:r>
            <w:r>
              <w:rPr>
                <w:rFonts w:ascii="Times New Roman" w:hAnsi="Times New Roman" w:cs="Times New Roman"/>
              </w:rPr>
              <w:lastRenderedPageBreak/>
              <w:t>материалам и керамике для предприятий АКОТЕХ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3991">
              <w:rPr>
                <w:rStyle w:val="s31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АКОТЕХ, ИАТЭ НИЯУ МИФИ, Калужский филиал МГТУ </w:t>
            </w:r>
            <w:proofErr w:type="spellStart"/>
            <w:r w:rsidRPr="00303991">
              <w:rPr>
                <w:rStyle w:val="s31"/>
                <w:rFonts w:ascii="Times New Roman" w:hAnsi="Times New Roman"/>
                <w:color w:val="000000"/>
                <w:sz w:val="22"/>
                <w:szCs w:val="22"/>
              </w:rPr>
              <w:t>им.Н.Э.Баумана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АКОТЕХ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5 специалистов в год, начиная с 2019 года</w:t>
            </w:r>
          </w:p>
        </w:tc>
      </w:tr>
      <w:tr w:rsidR="004C27E9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NewRomanPS" w:hAnsi="TimesNewRomanPS" w:cs="Times New Roman"/>
                <w:b/>
                <w:bCs/>
                <w:lang w:val="en-US"/>
              </w:rPr>
            </w:pPr>
            <w:r w:rsidRPr="00303991">
              <w:rPr>
                <w:rFonts w:ascii="TimesNewRomanPS" w:hAnsi="TimesNewRomanPS" w:cs="Times New Roman"/>
                <w:b/>
                <w:bCs/>
                <w:lang w:val="en-US"/>
              </w:rPr>
              <w:lastRenderedPageBreak/>
              <w:t>2.4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Создание и развитие инфраструктуры для инновационного бизнеса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Создание Бизнес-инкубатора Технопарка в сфере высоких технологий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АИРКО, Технопарк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АИРКО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764994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2017-201</w:t>
            </w:r>
            <w:r w:rsidR="00764994" w:rsidRPr="00A258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suppressAutoHyphens/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Ввод в эксплуатацию здания площадью  7500 м</w:t>
            </w:r>
            <w:r w:rsidRPr="0030399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 xml:space="preserve">, предназначенного для </w:t>
            </w:r>
            <w:proofErr w:type="spellStart"/>
            <w:r w:rsidRPr="00303991">
              <w:rPr>
                <w:rFonts w:ascii="Times New Roman" w:hAnsi="Times New Roman"/>
                <w:sz w:val="20"/>
                <w:szCs w:val="20"/>
              </w:rPr>
              <w:t>инкубирования</w:t>
            </w:r>
            <w:proofErr w:type="spellEnd"/>
            <w:r w:rsidRPr="00303991">
              <w:rPr>
                <w:rFonts w:ascii="Times New Roman" w:hAnsi="Times New Roman"/>
                <w:sz w:val="20"/>
                <w:szCs w:val="20"/>
              </w:rPr>
              <w:t xml:space="preserve"> начинающих инновационных компаний.  </w:t>
            </w:r>
          </w:p>
          <w:p w:rsidR="004C27E9" w:rsidRPr="00303991" w:rsidRDefault="004C27E9" w:rsidP="00CE0672">
            <w:pPr>
              <w:ind w:left="127" w:right="164"/>
              <w:jc w:val="both"/>
            </w:pPr>
            <w:r w:rsidRPr="00303991">
              <w:rPr>
                <w:rFonts w:ascii="Times New Roman" w:hAnsi="Times New Roman"/>
                <w:sz w:val="20"/>
                <w:szCs w:val="20"/>
              </w:rPr>
              <w:t>Создание 300 новых рабочих мест, размещение до 50 компаний.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</w:pPr>
            <w:r>
              <w:rPr>
                <w:rFonts w:ascii="Times New Roman" w:hAnsi="Times New Roman" w:cs="Times New Roman"/>
                <w:bCs/>
                <w:iCs/>
                <w:color w:val="00000A"/>
              </w:rPr>
              <w:t>Создание Научно-технологического делового центра «Инновационные медицинские разработки»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Парк активных молекул, АИРКО, предприятия НПК города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Парк активных молекул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303991">
              <w:rPr>
                <w:rFonts w:ascii="Times New Roman" w:hAnsi="Times New Roman" w:cs="Times New Roman"/>
                <w:bCs/>
                <w:sz w:val="20"/>
                <w:szCs w:val="20"/>
              </w:rPr>
              <w:t>к 2020 году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Pr="00303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 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малых инновационных компаний. Выведение на рынок не менее </w:t>
            </w:r>
            <w:r w:rsidRPr="003039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новых препаратов ежегодно. Привлечение инвестиций из различных источников до </w:t>
            </w:r>
            <w:r w:rsidRPr="00303991">
              <w:rPr>
                <w:rFonts w:ascii="Times New Roman" w:hAnsi="Times New Roman" w:cs="Times New Roman"/>
                <w:bCs/>
                <w:sz w:val="20"/>
                <w:szCs w:val="20"/>
              </w:rPr>
              <w:t>100 млн руб.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в год. Создание вивария для животных. Создание до </w:t>
            </w:r>
            <w:r w:rsidRPr="00303991">
              <w:rPr>
                <w:rFonts w:ascii="Times New Roman" w:hAnsi="Times New Roman" w:cs="Times New Roman"/>
                <w:bCs/>
                <w:sz w:val="20"/>
                <w:szCs w:val="20"/>
              </w:rPr>
              <w:t>700 высоко-квалифицированных рабочих мест</w:t>
            </w: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 xml:space="preserve"> к 2020 году. 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AB69E5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Создание Калужского керамического центра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right="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В соответствии с подразделом 2.3 Плана мероприятий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/>
              </w:rPr>
              <w:t>Развитие деятельности регионального инжинирингового центра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Участники КФК кластера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Парк активных молекул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КФК-кластера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  <w:rPr>
                <w:rFonts w:ascii="Times New Roman" w:hAnsi="Times New Roman"/>
                <w:sz w:val="20"/>
                <w:szCs w:val="20"/>
              </w:rPr>
            </w:pPr>
            <w:r w:rsidRPr="00303991">
              <w:rPr>
                <w:rFonts w:ascii="Times New Roman" w:hAnsi="Times New Roman"/>
                <w:sz w:val="20"/>
                <w:szCs w:val="20"/>
              </w:rPr>
              <w:t>Реализация 24 проектов по созданию лекарственных средств на базе новых активных молекул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 xml:space="preserve"> Создание не менее 10 новых инновационных </w:t>
            </w:r>
            <w:proofErr w:type="spellStart"/>
            <w:r w:rsidRPr="00303991">
              <w:rPr>
                <w:rFonts w:ascii="Times New Roman" w:hAnsi="Times New Roman"/>
                <w:sz w:val="20"/>
                <w:szCs w:val="20"/>
              </w:rPr>
              <w:t>стартапов</w:t>
            </w:r>
            <w:proofErr w:type="spellEnd"/>
            <w:r w:rsidRPr="003039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27E9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2.4.5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Обнинского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индустриального парка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303991" w:rsidRDefault="00A77186" w:rsidP="00A7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Инвесторы,</w:t>
            </w: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</w:t>
            </w:r>
            <w:r w:rsidR="004C27E9"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редприятия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фармкластера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 предприятий НПК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303991" w:rsidRDefault="004C27E9" w:rsidP="00CE0672">
            <w:pPr>
              <w:ind w:left="127" w:right="164"/>
            </w:pPr>
            <w:r w:rsidRPr="00303991">
              <w:rPr>
                <w:rFonts w:ascii="Times New Roman" w:hAnsi="Times New Roman"/>
                <w:sz w:val="20"/>
                <w:szCs w:val="20"/>
              </w:rPr>
              <w:t>Ввод в эксплуатацию промышленной «гостиницы для предприятий»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 xml:space="preserve"> Ввод в эксплуатацию не менее 10 новых производственных площадок с объёмом инвестиций 10 млрд.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9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4C27E9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2.4.6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pStyle w:val="12"/>
              <w:ind w:left="78" w:right="127"/>
              <w:jc w:val="both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Создание музея мировой атомной энергетики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ВАО АЭС, ГК «</w:t>
            </w:r>
            <w:proofErr w:type="spellStart"/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Росатом</w:t>
            </w:r>
            <w:proofErr w:type="spellEnd"/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», Администрация города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jc w:val="center"/>
              <w:rPr>
                <w:color w:val="auto"/>
              </w:rPr>
            </w:pPr>
            <w:r w:rsidRPr="00687C16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бюджету предприятий 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ind w:left="127" w:right="164"/>
              <w:jc w:val="both"/>
              <w:rPr>
                <w:color w:val="auto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Создание мирового объекта высокотехнологического наследия — Музея мировой атомной энергетики</w:t>
            </w:r>
          </w:p>
        </w:tc>
      </w:tr>
      <w:tr w:rsidR="004C27E9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2.4.7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Развитие Зоны инновационного развития по ул. Красных Зорь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Инновационные предприятия  города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jc w:val="center"/>
              <w:rPr>
                <w:color w:val="auto"/>
              </w:rPr>
            </w:pPr>
            <w:r w:rsidRPr="00687C16">
              <w:rPr>
                <w:rFonts w:ascii="Times" w:hAnsi="Times" w:cs="Times New Roman"/>
                <w:color w:val="auto"/>
                <w:sz w:val="22"/>
                <w:szCs w:val="22"/>
              </w:rPr>
              <w:t xml:space="preserve">Согласно бюджету предприятий 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Размещение в Зоне 10 новых инновационных компаний с объёмом инвестиций 1 млрд. руб.</w:t>
            </w:r>
          </w:p>
        </w:tc>
      </w:tr>
      <w:tr w:rsidR="004C27E9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2.4.8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Создание новых зон инновационного развития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бюджету города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687C16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В рамках проекта расширения границ города ввод в эксплуатацию с инфраструктурой не менее 50 га новых инновационных площадок.</w:t>
            </w:r>
          </w:p>
        </w:tc>
      </w:tr>
      <w:tr w:rsidR="004C27E9" w:rsidRPr="009A1F27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AB69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2.4.9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AB69E5" w:rsidRDefault="004C27E9" w:rsidP="009A1F27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B69E5">
              <w:rPr>
                <w:rFonts w:ascii="Times New Roman" w:hAnsi="Times New Roman" w:cs="Times New Roman"/>
                <w:bCs/>
                <w:color w:val="auto"/>
              </w:rPr>
              <w:t xml:space="preserve">Создание специализированного центра компетенций по развитию телемедицины на базе Медицинского радиологического научного центра им. А.Ф. </w:t>
            </w:r>
            <w:proofErr w:type="spellStart"/>
            <w:r w:rsidRPr="00AB69E5">
              <w:rPr>
                <w:rFonts w:ascii="Times New Roman" w:hAnsi="Times New Roman" w:cs="Times New Roman"/>
                <w:bCs/>
                <w:color w:val="auto"/>
              </w:rPr>
              <w:t>Цыба</w:t>
            </w:r>
            <w:proofErr w:type="spellEnd"/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4C27E9" w:rsidRPr="00AB69E5" w:rsidRDefault="004C27E9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МРНЦ </w:t>
            </w:r>
            <w:proofErr w:type="spellStart"/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им.А.Ф.Цыба</w:t>
            </w:r>
            <w:proofErr w:type="spellEnd"/>
            <w:r w:rsidR="00A771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филиал ФГБУ НМИЦ радиологии»</w:t>
            </w:r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КБ-8</w:t>
            </w:r>
            <w:r w:rsidR="00A771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ФМБА РФ</w:t>
            </w:r>
          </w:p>
        </w:tc>
        <w:tc>
          <w:tcPr>
            <w:tcW w:w="1670" w:type="dxa"/>
            <w:vAlign w:val="center"/>
          </w:tcPr>
          <w:p w:rsidR="004C27E9" w:rsidRPr="00AB69E5" w:rsidRDefault="004C27E9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4C27E9" w:rsidRPr="00AB69E5" w:rsidRDefault="004C27E9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4C27E9" w:rsidRPr="00AB69E5" w:rsidRDefault="00964516" w:rsidP="00CE067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45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бюджету предприятий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-участников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4C27E9" w:rsidRPr="00AB69E5" w:rsidRDefault="004C27E9" w:rsidP="00666C51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Министерством экономического развития Калужской области сделано проектное предложение «Цифровая экономика в Калужской области».</w:t>
            </w:r>
          </w:p>
          <w:p w:rsidR="004C27E9" w:rsidRPr="00AB69E5" w:rsidRDefault="004C27E9" w:rsidP="00666C51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Пилотной площадкой для отработки ключевых проектов </w:t>
            </w:r>
            <w:proofErr w:type="spellStart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цифровизации</w:t>
            </w:r>
            <w:proofErr w:type="spellEnd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станет территория города Обнинска, Боровского, Жуковского и </w:t>
            </w:r>
            <w:proofErr w:type="spellStart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Малоярославецкого</w:t>
            </w:r>
            <w:proofErr w:type="spellEnd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районов.</w:t>
            </w:r>
          </w:p>
          <w:p w:rsidR="004C27E9" w:rsidRPr="00AB69E5" w:rsidRDefault="004C27E9" w:rsidP="00666C51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 данной территории будет создана «Цифровая агломерация», одним из проектов которой станет создание специализированного центра компетенций по развитию телемедицины на базе </w:t>
            </w:r>
            <w:proofErr w:type="spellStart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МРНЦим</w:t>
            </w:r>
            <w:proofErr w:type="spellEnd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А.Ф. </w:t>
            </w:r>
            <w:proofErr w:type="spellStart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Цыба</w:t>
            </w:r>
            <w:proofErr w:type="spellEnd"/>
            <w:r w:rsidRPr="00AB69E5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4C27E9" w:rsidRPr="009A1F27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AB69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2.4.10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AB69E5" w:rsidRDefault="004C27E9" w:rsidP="00040DD9">
            <w:pPr>
              <w:ind w:left="78" w:right="12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B69E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Развитие научно-образовательного центра «Инновационная </w:t>
            </w:r>
            <w:proofErr w:type="spellStart"/>
            <w:r w:rsidRPr="00AB69E5">
              <w:rPr>
                <w:rFonts w:ascii="Times New Roman" w:hAnsi="Times New Roman"/>
                <w:color w:val="auto"/>
                <w:sz w:val="22"/>
                <w:szCs w:val="22"/>
              </w:rPr>
              <w:t>биофармацевтика</w:t>
            </w:r>
            <w:proofErr w:type="spellEnd"/>
            <w:r w:rsidRPr="00AB69E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AB69E5" w:rsidRDefault="004C27E9" w:rsidP="002B4865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подразделом 2.2  Плана мероприятий</w:t>
            </w:r>
          </w:p>
        </w:tc>
      </w:tr>
      <w:tr w:rsidR="004C27E9" w:rsidRPr="009A1F27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A928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2.4.11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AB69E5" w:rsidRDefault="004C27E9" w:rsidP="00D00842">
            <w:pPr>
              <w:pStyle w:val="ConsPlusNormal"/>
              <w:jc w:val="both"/>
              <w:rPr>
                <w:bCs/>
                <w:i w:val="0"/>
                <w:sz w:val="22"/>
                <w:szCs w:val="22"/>
              </w:rPr>
            </w:pPr>
            <w:r w:rsidRPr="00AB69E5">
              <w:rPr>
                <w:bCs/>
                <w:i w:val="0"/>
                <w:sz w:val="22"/>
                <w:szCs w:val="22"/>
              </w:rPr>
              <w:t xml:space="preserve">Развитие исследовательского научно-образовательного центра «Виртуальные и </w:t>
            </w:r>
            <w:proofErr w:type="spellStart"/>
            <w:r w:rsidRPr="00AB69E5">
              <w:rPr>
                <w:bCs/>
                <w:i w:val="0"/>
                <w:sz w:val="22"/>
                <w:szCs w:val="22"/>
              </w:rPr>
              <w:t>симуляционные</w:t>
            </w:r>
            <w:proofErr w:type="spellEnd"/>
            <w:r w:rsidRPr="00AB69E5">
              <w:rPr>
                <w:bCs/>
                <w:i w:val="0"/>
                <w:sz w:val="22"/>
                <w:szCs w:val="22"/>
              </w:rPr>
              <w:t xml:space="preserve"> технологии в медицинском образовании»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AB69E5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подразделом 2.2  Плана мероприятий</w:t>
            </w:r>
          </w:p>
        </w:tc>
      </w:tr>
      <w:tr w:rsidR="004C27E9" w:rsidRPr="009A1F27" w:rsidTr="003A4B26">
        <w:tc>
          <w:tcPr>
            <w:tcW w:w="1565" w:type="dxa"/>
            <w:tcMar>
              <w:left w:w="5" w:type="dxa"/>
            </w:tcMar>
            <w:vAlign w:val="center"/>
          </w:tcPr>
          <w:p w:rsidR="004C27E9" w:rsidRPr="00D467CE" w:rsidRDefault="004C27E9" w:rsidP="00A928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6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2.4.12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4C27E9" w:rsidRPr="00AB69E5" w:rsidRDefault="004C27E9" w:rsidP="00D00842">
            <w:pPr>
              <w:pStyle w:val="ConsPlusNormal"/>
              <w:jc w:val="both"/>
              <w:rPr>
                <w:bCs/>
                <w:i w:val="0"/>
                <w:sz w:val="22"/>
                <w:szCs w:val="22"/>
              </w:rPr>
            </w:pPr>
            <w:r w:rsidRPr="00AB69E5">
              <w:rPr>
                <w:bCs/>
                <w:i w:val="0"/>
                <w:sz w:val="22"/>
                <w:szCs w:val="22"/>
              </w:rPr>
              <w:t xml:space="preserve">Организация программ подготовки кадров и повышения квалификации  (в рамках плана деятельности специализированной организации </w:t>
            </w:r>
            <w:r w:rsidRPr="00AB69E5">
              <w:rPr>
                <w:bCs/>
                <w:i w:val="0"/>
                <w:sz w:val="22"/>
                <w:szCs w:val="22"/>
              </w:rPr>
              <w:lastRenderedPageBreak/>
              <w:t>кластера,  центра кластерного развития Калужской области)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4C27E9" w:rsidRPr="00AB69E5" w:rsidRDefault="004C27E9" w:rsidP="00CE0672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B6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 соответствии с подразделом 2.2  Плана мероприятий</w:t>
            </w:r>
          </w:p>
        </w:tc>
      </w:tr>
      <w:tr w:rsidR="00B4478C" w:rsidRPr="00B4478C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B4478C" w:rsidRDefault="00505B94" w:rsidP="00015FB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2.4.1</w:t>
            </w:r>
            <w:r w:rsidR="00015FB6"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B4478C" w:rsidRDefault="00C23E71" w:rsidP="00B4478C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4478C">
              <w:rPr>
                <w:rFonts w:ascii="Times New Roman" w:hAnsi="Times New Roman" w:cs="Times New Roman"/>
                <w:bCs/>
                <w:color w:val="auto"/>
              </w:rPr>
              <w:t>Запуск образовательных курсов «Технологическое предпринимательство» и «Интернет-предпринимательство» и акселерационн</w:t>
            </w:r>
            <w:r w:rsidR="00B4478C">
              <w:rPr>
                <w:rFonts w:ascii="Times New Roman" w:hAnsi="Times New Roman" w:cs="Times New Roman"/>
                <w:bCs/>
                <w:color w:val="auto"/>
              </w:rPr>
              <w:t>ой</w:t>
            </w:r>
            <w:r w:rsidRPr="00B4478C">
              <w:rPr>
                <w:rFonts w:ascii="Times New Roman" w:hAnsi="Times New Roman" w:cs="Times New Roman"/>
                <w:bCs/>
                <w:color w:val="auto"/>
              </w:rPr>
              <w:t xml:space="preserve"> программ</w:t>
            </w:r>
            <w:r w:rsidR="00B4478C">
              <w:rPr>
                <w:rFonts w:ascii="Times New Roman" w:hAnsi="Times New Roman" w:cs="Times New Roman"/>
                <w:bCs/>
                <w:color w:val="auto"/>
              </w:rPr>
              <w:t>ы</w:t>
            </w:r>
            <w:r w:rsidRPr="00B4478C">
              <w:rPr>
                <w:rFonts w:ascii="Times New Roman" w:hAnsi="Times New Roman" w:cs="Times New Roman"/>
                <w:bCs/>
                <w:color w:val="auto"/>
              </w:rPr>
              <w:t xml:space="preserve"> по развитию студенческого предпринимательства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505B94" w:rsidRPr="00B4478C" w:rsidRDefault="00C23E71" w:rsidP="00A258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ИАТЭ НИЯУ МИФИ</w:t>
            </w:r>
          </w:p>
        </w:tc>
        <w:tc>
          <w:tcPr>
            <w:tcW w:w="1670" w:type="dxa"/>
            <w:vAlign w:val="center"/>
          </w:tcPr>
          <w:p w:rsidR="00505B94" w:rsidRPr="00B4478C" w:rsidRDefault="00C23E71" w:rsidP="00A258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НИЯУ МИФИ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B4478C" w:rsidRDefault="00C23E71" w:rsidP="00A258D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B4478C" w:rsidRDefault="00C23E71" w:rsidP="00A258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7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бюджету ИАТЭ НИЯУ МИФИ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B4478C" w:rsidRDefault="00C23E71" w:rsidP="00C23E71">
            <w:pPr>
              <w:ind w:left="127" w:right="164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4478C">
              <w:rPr>
                <w:rFonts w:ascii="Times New Roman" w:hAnsi="Times New Roman"/>
                <w:color w:val="auto"/>
                <w:sz w:val="20"/>
                <w:szCs w:val="20"/>
              </w:rPr>
              <w:t>Ключевая цель проекта -</w:t>
            </w:r>
            <w:r w:rsidR="000061B1" w:rsidRPr="00B4478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акселерация </w:t>
            </w:r>
            <w:r w:rsidRPr="00B4478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студенческих </w:t>
            </w:r>
            <w:proofErr w:type="spellStart"/>
            <w:r w:rsidRPr="00B4478C">
              <w:rPr>
                <w:rFonts w:ascii="Times New Roman" w:hAnsi="Times New Roman"/>
                <w:color w:val="auto"/>
                <w:sz w:val="20"/>
                <w:szCs w:val="20"/>
              </w:rPr>
              <w:t>стартапов</w:t>
            </w:r>
            <w:proofErr w:type="spellEnd"/>
            <w:r w:rsidRPr="00B4478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сфере высоких технологий. Осуществляется выполнение бизнес-кейсов по заданиям индустриальных партнёров. </w:t>
            </w:r>
          </w:p>
        </w:tc>
      </w:tr>
      <w:tr w:rsidR="00505B94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spacing w:beforeAutospacing="1" w:afterAutospacing="1"/>
              <w:rPr>
                <w:rFonts w:ascii="Times" w:hAnsi="Times" w:cs="Times New Roman"/>
                <w:sz w:val="20"/>
                <w:szCs w:val="20"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 xml:space="preserve">3. 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505B94" w:rsidRDefault="00505B94" w:rsidP="00CE0672">
            <w:pPr>
              <w:pStyle w:val="-1"/>
              <w:spacing w:before="120" w:line="240" w:lineRule="auto"/>
              <w:ind w:firstLine="0"/>
              <w:rPr>
                <w:b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Обнинск – город удобный для жизни.</w:t>
            </w:r>
          </w:p>
        </w:tc>
      </w:tr>
      <w:tr w:rsidR="00505B94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3.1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505B94" w:rsidRDefault="00505B94" w:rsidP="00CE0672">
            <w:pPr>
              <w:pStyle w:val="-1"/>
              <w:spacing w:before="120" w:line="240" w:lineRule="auto"/>
              <w:ind w:firstLine="0"/>
              <w:rPr>
                <w:rFonts w:cs="Times New Roman"/>
                <w:b/>
                <w:bCs/>
                <w:color w:val="00000A"/>
              </w:rPr>
            </w:pPr>
            <w:proofErr w:type="spellStart"/>
            <w:r>
              <w:rPr>
                <w:rFonts w:cs="Times New Roman"/>
                <w:b/>
                <w:bCs/>
                <w:color w:val="00000A"/>
              </w:rPr>
              <w:t>Обнинск</w:t>
            </w:r>
            <w:proofErr w:type="spellEnd"/>
            <w:r>
              <w:rPr>
                <w:rFonts w:cs="Times New Roman"/>
                <w:b/>
                <w:bCs/>
                <w:color w:val="00000A"/>
              </w:rPr>
              <w:t xml:space="preserve"> – </w:t>
            </w:r>
            <w:proofErr w:type="spellStart"/>
            <w:r>
              <w:rPr>
                <w:rFonts w:cs="Times New Roman"/>
                <w:b/>
                <w:bCs/>
                <w:color w:val="00000A"/>
              </w:rPr>
              <w:t>умный</w:t>
            </w:r>
            <w:proofErr w:type="spellEnd"/>
            <w:r>
              <w:rPr>
                <w:rFonts w:cs="Times New Roman"/>
                <w:b/>
                <w:bCs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A"/>
              </w:rPr>
              <w:t>город</w:t>
            </w:r>
            <w:proofErr w:type="spellEnd"/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  <w:bCs/>
                <w:color w:val="000000"/>
              </w:rPr>
            </w:pPr>
            <w:r w:rsidRPr="0030399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Создание Аппаратно–программного комплекса «Городская информационная система»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ИКТ-кластер; Администрация г. Обнинска; </w:t>
            </w:r>
          </w:p>
          <w:p w:rsidR="00505B94" w:rsidRPr="00303991" w:rsidRDefault="00505B94" w:rsidP="00CE0672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 Домофон; НП ГИЦ «Безопасный город».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ООО Обнинск – Телеком»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жилых домов и административных зданий города сетевыми комплексами контроля доступа, охраны, диспетчеризации, оповещения. Разработка и внедрение проекта «Универсальная электронная карта горожанина». Создание единой многофункциональной электронной карты города.  Создание на базе АПК ГИС, ЕДДС и Службы 112 единой системы «Безопасный город».</w:t>
            </w:r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bCs/>
                <w:sz w:val="22"/>
                <w:szCs w:val="22"/>
              </w:rPr>
              <w:t>Обнинск – город цифровой персонализированной медицины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Предприятия НПК города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Парк активных молекул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2017-2022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Создание «электронной поликлиники», работающей через сеть Интернет, с возможностью персональных врачебных консультаций, обслуживающей не менее 10 000 пациентов.  Предоставление пациентам  доступа к «картам здоровья». Внедрение «электронного рецепта».</w:t>
            </w:r>
          </w:p>
        </w:tc>
      </w:tr>
      <w:tr w:rsidR="00505B94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3.2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505B94" w:rsidRDefault="00505B94" w:rsidP="00CE0672">
            <w:pPr>
              <w:pStyle w:val="-1"/>
              <w:spacing w:before="120" w:line="240" w:lineRule="auto"/>
              <w:ind w:firstLine="0"/>
              <w:rPr>
                <w:rFonts w:cs="Times New Roman"/>
                <w:b/>
                <w:bCs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Обнинск – чистый и уютный город</w:t>
            </w:r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Комплекс мероприятий по улучшению архитектурного облика города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 xml:space="preserve">Согласно </w:t>
            </w: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бюджету города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Организация Главной пешеходной улицы на пр. Маркса;</w:t>
            </w:r>
          </w:p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Превращение зоны «Старого города» в рекреационную;</w:t>
            </w:r>
          </w:p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Внедрение программы «Двор без машин»;</w:t>
            </w:r>
          </w:p>
          <w:p w:rsidR="00505B94" w:rsidRPr="00303991" w:rsidRDefault="00505B94" w:rsidP="00CE0672">
            <w:pPr>
              <w:ind w:left="127" w:righ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0"/>
                <w:szCs w:val="20"/>
              </w:rPr>
              <w:t>Организация сети автомоек самообслуживания.</w:t>
            </w:r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3.2.2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Реализация проекта «Курс на чистый Обнинск»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2017-2022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 xml:space="preserve">Согласно </w:t>
            </w:r>
            <w:r w:rsidRPr="003039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бюджету города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Default="00505B94" w:rsidP="00CE0672">
            <w:pPr>
              <w:pStyle w:val="11"/>
              <w:spacing w:line="240" w:lineRule="auto"/>
              <w:ind w:left="127" w:right="164" w:firstLine="0"/>
            </w:pPr>
            <w:r>
              <w:rPr>
                <w:rFonts w:cs="Times New Roman"/>
                <w:sz w:val="20"/>
                <w:szCs w:val="20"/>
              </w:rPr>
              <w:t>Утверждение плана по своевременной уборке лесных зон города;</w:t>
            </w:r>
          </w:p>
          <w:p w:rsidR="00505B94" w:rsidRDefault="00505B94" w:rsidP="00CE0672">
            <w:pPr>
              <w:pStyle w:val="11"/>
              <w:spacing w:line="240" w:lineRule="auto"/>
              <w:ind w:left="127" w:right="164" w:firstLine="0"/>
            </w:pPr>
            <w:r>
              <w:rPr>
                <w:rFonts w:cs="Times New Roman"/>
                <w:sz w:val="20"/>
                <w:szCs w:val="20"/>
              </w:rPr>
              <w:t>Утверждение карты перспективного озеленения города;</w:t>
            </w:r>
          </w:p>
          <w:p w:rsidR="00505B94" w:rsidRDefault="00505B94" w:rsidP="00CE0672">
            <w:pPr>
              <w:pStyle w:val="11"/>
              <w:spacing w:line="240" w:lineRule="auto"/>
              <w:ind w:left="127" w:right="164" w:firstLine="0"/>
            </w:pPr>
            <w:r>
              <w:rPr>
                <w:rFonts w:cs="Times New Roman"/>
                <w:sz w:val="20"/>
                <w:szCs w:val="20"/>
              </w:rPr>
              <w:t>Внедрение системы раздельного сбора мусора.</w:t>
            </w:r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3.2.3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Разработка технологической платформы для создания территориальных систем экологического мониторинга</w:t>
            </w:r>
          </w:p>
        </w:tc>
        <w:tc>
          <w:tcPr>
            <w:tcW w:w="1658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  <w:bCs/>
                <w:iCs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НПО «Тайфун», ВНИИРАЭ, ВНИИСХМ, ВНИИГМИ МЦД</w:t>
            </w:r>
          </w:p>
        </w:tc>
        <w:tc>
          <w:tcPr>
            <w:tcW w:w="1670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НПО «Тайфун»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" w:hAnsi="Times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Согласно бюджету</w:t>
            </w:r>
          </w:p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</w:rPr>
            </w:pPr>
            <w:r w:rsidRPr="00303991">
              <w:rPr>
                <w:rFonts w:ascii="Times" w:hAnsi="Times" w:cs="Times New Roman"/>
                <w:sz w:val="22"/>
                <w:szCs w:val="22"/>
              </w:rPr>
              <w:t>предприятий НПК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Default="00505B94" w:rsidP="00CE0672">
            <w:pPr>
              <w:pStyle w:val="af0"/>
              <w:spacing w:before="0" w:after="0"/>
              <w:ind w:left="127" w:right="16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эксплуатацию системы наблюдения за загрязнением атмосферного воздуха и р. </w:t>
            </w:r>
            <w:proofErr w:type="spellStart"/>
            <w:r>
              <w:rPr>
                <w:sz w:val="20"/>
                <w:szCs w:val="20"/>
              </w:rPr>
              <w:t>Протва</w:t>
            </w:r>
            <w:proofErr w:type="spellEnd"/>
            <w:r>
              <w:rPr>
                <w:sz w:val="20"/>
                <w:szCs w:val="20"/>
              </w:rPr>
              <w:t>. Готовая технологическая платформа системы экологического мониторинга для распространения в других муниципальных образованиях РФ.</w:t>
            </w:r>
          </w:p>
        </w:tc>
      </w:tr>
      <w:tr w:rsidR="00505B94" w:rsidRPr="00303991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3.2.4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ind w:left="78" w:right="127"/>
              <w:rPr>
                <w:rFonts w:ascii="Times New Roman" w:hAnsi="Times New Roman" w:cs="Times New Roman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контрольно-аналитической лаборатории</w:t>
            </w:r>
            <w:r w:rsidRPr="00303991">
              <w:rPr>
                <w:b/>
                <w:sz w:val="22"/>
                <w:szCs w:val="22"/>
              </w:rPr>
              <w:t xml:space="preserve"> </w:t>
            </w: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санитарно-гигиенических  и экологических  измерений предприятий КФК-кластера</w:t>
            </w:r>
          </w:p>
        </w:tc>
        <w:tc>
          <w:tcPr>
            <w:tcW w:w="9666" w:type="dxa"/>
            <w:gridSpan w:val="5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91">
              <w:rPr>
                <w:rFonts w:ascii="Times New Roman" w:hAnsi="Times New Roman" w:cs="Times New Roman"/>
                <w:sz w:val="22"/>
                <w:szCs w:val="22"/>
              </w:rPr>
              <w:t>В соответствии с подразделом 2.2 Плана мероприятий</w:t>
            </w:r>
          </w:p>
        </w:tc>
      </w:tr>
      <w:tr w:rsidR="00505B94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505B94" w:rsidRPr="00303991" w:rsidRDefault="00505B94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3.3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505B94" w:rsidRDefault="00505B94" w:rsidP="00CE0672">
            <w:pPr>
              <w:pStyle w:val="-1"/>
              <w:spacing w:before="120" w:line="240" w:lineRule="auto"/>
              <w:ind w:firstLine="0"/>
              <w:rPr>
                <w:rFonts w:cs="Times New Roman"/>
                <w:b/>
                <w:bCs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Обнинск – город с развитой инфраструктурой</w:t>
            </w:r>
          </w:p>
        </w:tc>
      </w:tr>
      <w:tr w:rsidR="00505B94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Строительство сервисной инфраструктуры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Инвесторы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87C16" w:rsidRDefault="00505B94" w:rsidP="006C4B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редства инвесторов 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Ввод в эксплуатацию гостиницы на 1000 ме</w:t>
            </w:r>
            <w:proofErr w:type="gramStart"/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ст в Сп</w:t>
            </w:r>
            <w:proofErr w:type="gramEnd"/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орткомплексе Олимп;</w:t>
            </w:r>
          </w:p>
          <w:p w:rsidR="00505B94" w:rsidRPr="00687C16" w:rsidRDefault="00505B94" w:rsidP="00CE0672">
            <w:pPr>
              <w:ind w:left="127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Ввод в эксплуатацию ТРЦ в районе </w:t>
            </w:r>
            <w:proofErr w:type="spellStart"/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Белкинских</w:t>
            </w:r>
            <w:proofErr w:type="spellEnd"/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прудов.</w:t>
            </w:r>
          </w:p>
        </w:tc>
      </w:tr>
      <w:tr w:rsidR="00505B94" w:rsidRPr="00687C16" w:rsidTr="003A4B26">
        <w:trPr>
          <w:trHeight w:val="316"/>
        </w:trPr>
        <w:tc>
          <w:tcPr>
            <w:tcW w:w="156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pStyle w:val="12"/>
              <w:ind w:left="78" w:right="127"/>
              <w:jc w:val="both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Строительство инфраструктуры для технопарка «Обнинск»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A258D4" w:rsidP="00A258D4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Правительство </w:t>
            </w:r>
            <w:r w:rsidR="00505B94"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Калужской области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2017-2019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jc w:val="center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Согласно бюджета </w:t>
            </w: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Калужской области, федеральному бюджету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Ввод в эксплуатацию инженерных сетей и транспортных 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коммуникаций площадки № 1 технопарка «Обнинск»;</w:t>
            </w:r>
          </w:p>
        </w:tc>
      </w:tr>
      <w:tr w:rsidR="00505B94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3.3.3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Строительство жилья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инвесторов</w:t>
            </w:r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Согласно бюджету инвесторов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>Ввод в эксплуатацию не менее 900000 м</w:t>
            </w:r>
            <w:r w:rsidRPr="00687C16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концу 2025 года.</w:t>
            </w:r>
          </w:p>
        </w:tc>
      </w:tr>
      <w:tr w:rsidR="00505B94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3.3.4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pStyle w:val="12"/>
              <w:ind w:left="78" w:right="12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</w:rPr>
              <w:t>Расширение существующей городской системы водоснабжения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87C16" w:rsidRDefault="00505B94" w:rsidP="00B4478C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</w:t>
            </w:r>
            <w:r w:rsidR="00B4478C" w:rsidRPr="00B4478C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Ввод в эксплуатацию 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водозаборов: участок №1 «Спас-Загорский»  ~28 тыс.м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сут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участок №2 «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Анисимовский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~18тыс.м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сут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085ECA" w:rsidRPr="00085ECA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3.3.5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ind w:left="78" w:right="127"/>
              <w:rPr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Строительство городского </w:t>
            </w:r>
            <w:proofErr w:type="spellStart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хозфекального</w:t>
            </w:r>
            <w:proofErr w:type="spellEnd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коллектора ( от КНС </w:t>
            </w:r>
            <w:proofErr w:type="spellStart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мкр</w:t>
            </w:r>
            <w:proofErr w:type="spellEnd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. 51 через ул. </w:t>
            </w:r>
            <w:proofErr w:type="spellStart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Белкинская</w:t>
            </w:r>
            <w:proofErr w:type="spellEnd"/>
            <w:r w:rsidRPr="00085EC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, Энгельса и Красных Зорь до городских очистных сооружений)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образования и науки Калужской области (по согласованию), </w:t>
            </w:r>
          </w:p>
          <w:p w:rsidR="00505B94" w:rsidRPr="00085ECA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jc w:val="center"/>
              <w:rPr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2359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085ECA" w:rsidRDefault="00505B94" w:rsidP="00CE0672">
            <w:pPr>
              <w:ind w:left="127" w:right="164"/>
              <w:jc w:val="both"/>
              <w:rPr>
                <w:color w:val="auto"/>
              </w:rPr>
            </w:pPr>
            <w:r w:rsidRPr="00085E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Ввод в эксплуатацию магистрального хоз. коллектора </w:t>
            </w:r>
            <w:r w:rsidRPr="00085EC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085E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r w:rsidRPr="00085EC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085E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этап.</w:t>
            </w:r>
          </w:p>
        </w:tc>
      </w:tr>
      <w:tr w:rsidR="00505B94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A928A7" w:rsidRDefault="00505B94" w:rsidP="004F59E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3.3.</w:t>
            </w:r>
            <w:r w:rsidR="004F59E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78" w:right="127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Строительство муниципальной магистральной улицы общегородского назначения в продолжение проспекта Ленина от пересечения с улицей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Белкинской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до пересечения с улицей Владимира Малых в жилом районе «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Заовражье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» в г. Обнинске 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C4BCD" w:rsidRDefault="00505B94" w:rsidP="00085ECA">
            <w:pPr>
              <w:rPr>
                <w:rFonts w:ascii="Times New Roman" w:hAnsi="Times New Roman" w:cs="Times New Roman"/>
                <w:color w:val="auto"/>
              </w:rPr>
            </w:pPr>
            <w:r w:rsidRP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</w:t>
            </w:r>
            <w:r w:rsidR="00085ECA" w:rsidRP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C4BCD" w:rsidRDefault="00505B94" w:rsidP="00AB69E5">
            <w:pPr>
              <w:jc w:val="center"/>
              <w:rPr>
                <w:color w:val="auto"/>
              </w:rPr>
            </w:pPr>
            <w:r w:rsidRP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451,3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jc w:val="both"/>
              <w:rPr>
                <w:color w:val="auto"/>
              </w:rPr>
            </w:pPr>
            <w:r w:rsidRPr="00687C1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Ввод в эксплуатацию улицы </w:t>
            </w:r>
            <w:r w:rsidRPr="00687C1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в продолжение просп. Ленина в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мкр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. «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Заовражье</w:t>
            </w:r>
            <w:proofErr w:type="spellEnd"/>
            <w:r w:rsidRPr="00687C1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».  </w:t>
            </w:r>
          </w:p>
        </w:tc>
      </w:tr>
      <w:tr w:rsidR="00505B94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A928A7" w:rsidRDefault="00505B94" w:rsidP="004F59E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3.3.</w:t>
            </w:r>
            <w:r w:rsidR="004F59E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687C16" w:rsidRDefault="00505B94" w:rsidP="00B4478C">
            <w:pPr>
              <w:ind w:left="78" w:right="127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Строительство объектов коммунальной инфраструктуры в развити</w:t>
            </w:r>
            <w:r w:rsidR="00B4478C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е</w:t>
            </w:r>
            <w:r w:rsidRPr="00687C16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Зоны инновационного развития по ул. Красных Зорь 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6C4BCD" w:rsidRDefault="00505B94" w:rsidP="00CE0672">
            <w:pPr>
              <w:rPr>
                <w:color w:val="auto"/>
              </w:rPr>
            </w:pPr>
            <w:r w:rsidRP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6C4BCD" w:rsidRDefault="00505B94" w:rsidP="00CE0672">
            <w:pPr>
              <w:jc w:val="center"/>
              <w:rPr>
                <w:color w:val="auto"/>
              </w:rPr>
            </w:pPr>
            <w:r w:rsidRPr="006C4B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112,0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687C16" w:rsidRDefault="00505B94" w:rsidP="00CE0672">
            <w:pPr>
              <w:ind w:left="127" w:right="164"/>
              <w:jc w:val="both"/>
              <w:rPr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 в эксплуатацию продолжения улицы в зоне инновационного развития по ул. Красных Зорь. Организация Северного въезда в город.</w:t>
            </w:r>
          </w:p>
        </w:tc>
      </w:tr>
      <w:tr w:rsidR="00BC44FA" w:rsidRPr="00BC44FA" w:rsidTr="003A4B26">
        <w:tc>
          <w:tcPr>
            <w:tcW w:w="1565" w:type="dxa"/>
            <w:tcMar>
              <w:left w:w="5" w:type="dxa"/>
            </w:tcMar>
            <w:vAlign w:val="center"/>
          </w:tcPr>
          <w:p w:rsidR="00505B94" w:rsidRPr="00BC44FA" w:rsidRDefault="00505B94" w:rsidP="004F59EA">
            <w:pPr>
              <w:rPr>
                <w:color w:val="auto"/>
                <w:sz w:val="22"/>
                <w:szCs w:val="22"/>
              </w:rPr>
            </w:pPr>
            <w:r w:rsidRPr="00BC44FA">
              <w:rPr>
                <w:color w:val="auto"/>
                <w:sz w:val="22"/>
                <w:szCs w:val="22"/>
              </w:rPr>
              <w:t>3.3.</w:t>
            </w:r>
            <w:r w:rsidR="004F59EA" w:rsidRPr="00BC44F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505B94" w:rsidRPr="00BC44FA" w:rsidRDefault="0072647C" w:rsidP="00CE0672">
            <w:pPr>
              <w:ind w:left="78" w:right="12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Развитие и совершенствование транспортной инфраструктуры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505B94" w:rsidRPr="00BC44FA" w:rsidRDefault="00505B94" w:rsidP="00CE06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 строительства и ж</w:t>
            </w:r>
            <w:r w:rsidR="002F6183"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лищно-коммунального хозяйства Калужской области (по согласованию), Администрация </w:t>
            </w:r>
            <w:proofErr w:type="spellStart"/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505B94" w:rsidRPr="00BC44FA" w:rsidRDefault="00505B94" w:rsidP="002C029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  <w:r w:rsidR="0072647C"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-2024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505B94" w:rsidRPr="00BC44FA" w:rsidRDefault="0072647C" w:rsidP="00CE067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671,4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505B94" w:rsidRPr="00BC44FA" w:rsidRDefault="0072647C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Улучшение состояния дорожного полотна и благоустройства городских улиц</w:t>
            </w:r>
          </w:p>
        </w:tc>
      </w:tr>
      <w:tr w:rsidR="00BC44FA" w:rsidRPr="00BC44FA" w:rsidTr="003A4B26">
        <w:tc>
          <w:tcPr>
            <w:tcW w:w="1565" w:type="dxa"/>
            <w:tcMar>
              <w:left w:w="5" w:type="dxa"/>
            </w:tcMar>
            <w:vAlign w:val="center"/>
          </w:tcPr>
          <w:p w:rsidR="003A4B26" w:rsidRPr="00BC44FA" w:rsidRDefault="003A4B26" w:rsidP="004F59EA">
            <w:pPr>
              <w:rPr>
                <w:color w:val="auto"/>
                <w:sz w:val="22"/>
                <w:szCs w:val="22"/>
              </w:rPr>
            </w:pPr>
            <w:r w:rsidRPr="00BC44FA">
              <w:rPr>
                <w:color w:val="auto"/>
                <w:sz w:val="22"/>
                <w:szCs w:val="22"/>
              </w:rPr>
              <w:t>3.3.</w:t>
            </w:r>
            <w:r w:rsidR="004F59EA" w:rsidRPr="00BC44F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ind w:left="78" w:right="12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Комплекс мероприятий по благоустройству дворовых территорий и общественных мест (озеленение, </w:t>
            </w:r>
            <w:r w:rsidRPr="00BC44F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lastRenderedPageBreak/>
              <w:t>ландшафтная пластика, освещение, ограждение, украшение, установка малых архитектурных форм и т.д.) в г. Обнинске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3A4B26" w:rsidRPr="00BC44FA" w:rsidRDefault="003A4B26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Министерство строительства и ж</w:t>
            </w:r>
            <w:r w:rsidR="002F6183"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лищно-коммунального хозяйства Калужской области (по </w:t>
            </w: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согласованию), Администрация </w:t>
            </w:r>
            <w:proofErr w:type="spellStart"/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3A4B26" w:rsidRPr="00BC44FA" w:rsidRDefault="003A4B26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2019-2024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50,5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Благоустроенная и благоприятная, комфортная среда придомовых и общественных территорий. </w:t>
            </w:r>
            <w:r w:rsidRPr="00BC44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Комфортные условия проживания и проведения досуга населения</w:t>
            </w:r>
          </w:p>
        </w:tc>
      </w:tr>
      <w:tr w:rsidR="00BC44FA" w:rsidRPr="00BC44FA" w:rsidTr="003A4B26">
        <w:tc>
          <w:tcPr>
            <w:tcW w:w="1565" w:type="dxa"/>
            <w:tcMar>
              <w:left w:w="5" w:type="dxa"/>
            </w:tcMar>
            <w:vAlign w:val="center"/>
          </w:tcPr>
          <w:p w:rsidR="003A4B26" w:rsidRPr="00BC44FA" w:rsidRDefault="0072647C" w:rsidP="004F59EA">
            <w:pPr>
              <w:rPr>
                <w:color w:val="auto"/>
                <w:sz w:val="22"/>
                <w:szCs w:val="22"/>
              </w:rPr>
            </w:pPr>
            <w:r w:rsidRPr="00BC44FA">
              <w:rPr>
                <w:color w:val="auto"/>
                <w:sz w:val="22"/>
                <w:szCs w:val="22"/>
              </w:rPr>
              <w:lastRenderedPageBreak/>
              <w:t>3.3.1</w:t>
            </w:r>
            <w:r w:rsidR="004F59EA" w:rsidRPr="00BC44F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ind w:left="78" w:right="12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Модернизация футбольного поля стадиона «Труд»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3A4B26" w:rsidRPr="00BC44FA" w:rsidRDefault="003A4B26" w:rsidP="007537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</w:t>
            </w:r>
            <w:r w:rsidR="007537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спорта </w:t>
            </w: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Калужской области (по согласованию), Администрация </w:t>
            </w:r>
            <w:proofErr w:type="spellStart"/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proofErr w:type="gramStart"/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3A4B26" w:rsidRPr="00BC44FA" w:rsidRDefault="003A4B26" w:rsidP="0076499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49,6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3A4B26" w:rsidRPr="00BC44FA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44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качества предоставляемой услуги.   Увеличение количества занимающихся</w:t>
            </w:r>
          </w:p>
        </w:tc>
      </w:tr>
      <w:tr w:rsidR="003A4B26" w:rsidRPr="00303991" w:rsidTr="003A4B26">
        <w:tc>
          <w:tcPr>
            <w:tcW w:w="1565" w:type="dxa"/>
            <w:shd w:val="clear" w:color="auto" w:fill="EFEFEF"/>
            <w:tcMar>
              <w:left w:w="5" w:type="dxa"/>
            </w:tcMar>
            <w:vAlign w:val="center"/>
          </w:tcPr>
          <w:p w:rsidR="003A4B26" w:rsidRPr="00303991" w:rsidRDefault="003A4B26" w:rsidP="00CE0672">
            <w:pPr>
              <w:spacing w:beforeAutospacing="1" w:afterAutospacing="1"/>
              <w:rPr>
                <w:rFonts w:ascii="TimesNewRomanPS" w:hAnsi="TimesNewRomanPS" w:cs="Times New Roman"/>
                <w:b/>
                <w:bCs/>
              </w:rPr>
            </w:pPr>
            <w:r w:rsidRPr="00303991">
              <w:rPr>
                <w:rFonts w:ascii="TimesNewRomanPS" w:hAnsi="TimesNewRomanPS" w:cs="Times New Roman"/>
                <w:b/>
                <w:bCs/>
              </w:rPr>
              <w:t>3.4</w:t>
            </w:r>
          </w:p>
        </w:tc>
        <w:tc>
          <w:tcPr>
            <w:tcW w:w="13513" w:type="dxa"/>
            <w:gridSpan w:val="6"/>
            <w:shd w:val="clear" w:color="auto" w:fill="EFEFEF"/>
            <w:tcMar>
              <w:left w:w="5" w:type="dxa"/>
            </w:tcMar>
          </w:tcPr>
          <w:p w:rsidR="003A4B26" w:rsidRDefault="003A4B26" w:rsidP="00CE0672">
            <w:pPr>
              <w:pStyle w:val="-1"/>
              <w:spacing w:before="120" w:line="240" w:lineRule="auto"/>
              <w:ind w:firstLine="0"/>
              <w:rPr>
                <w:rFonts w:cs="Times New Roman"/>
                <w:b/>
                <w:bCs/>
                <w:color w:val="00000A"/>
                <w:lang w:val="ru-RU"/>
              </w:rPr>
            </w:pPr>
            <w:r>
              <w:rPr>
                <w:rFonts w:cs="Times New Roman"/>
                <w:b/>
                <w:bCs/>
                <w:color w:val="00000A"/>
                <w:lang w:val="ru-RU"/>
              </w:rPr>
              <w:t>Обнинск – город общего культурного и социального пространства</w:t>
            </w:r>
          </w:p>
        </w:tc>
      </w:tr>
      <w:tr w:rsidR="003A4B26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3.4.1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ind w:left="78" w:right="127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Создание общественно-культурных  центров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2017-2025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Ввод в эксплуатацию филиала ГДК «Дом офицеров»;</w:t>
            </w:r>
          </w:p>
          <w:p w:rsidR="003A4B26" w:rsidRPr="00687C16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Реконструкция и ввод в эксплуатацию краеведческого музея «Дача Морозовой»;</w:t>
            </w:r>
          </w:p>
          <w:p w:rsidR="003A4B26" w:rsidRPr="00687C16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общественного центра  «Стекляшка».</w:t>
            </w:r>
          </w:p>
        </w:tc>
      </w:tr>
      <w:tr w:rsidR="003A4B26" w:rsidRPr="00687C16" w:rsidTr="003A4B26">
        <w:tc>
          <w:tcPr>
            <w:tcW w:w="1565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3.4.2</w:t>
            </w:r>
          </w:p>
        </w:tc>
        <w:tc>
          <w:tcPr>
            <w:tcW w:w="3847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ind w:left="78" w:right="127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Формирование общественных групп, включая влияние на систему управления городом</w:t>
            </w:r>
          </w:p>
        </w:tc>
        <w:tc>
          <w:tcPr>
            <w:tcW w:w="3328" w:type="dxa"/>
            <w:gridSpan w:val="2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Активные горожане, Администрация </w:t>
            </w:r>
            <w:proofErr w:type="spellStart"/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г.Обнинска</w:t>
            </w:r>
            <w:proofErr w:type="spellEnd"/>
          </w:p>
        </w:tc>
        <w:tc>
          <w:tcPr>
            <w:tcW w:w="1373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2017-2020</w:t>
            </w:r>
          </w:p>
        </w:tc>
        <w:tc>
          <w:tcPr>
            <w:tcW w:w="1655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310" w:type="dxa"/>
            <w:tcMar>
              <w:left w:w="5" w:type="dxa"/>
            </w:tcMar>
            <w:vAlign w:val="center"/>
          </w:tcPr>
          <w:p w:rsidR="003A4B26" w:rsidRPr="00687C16" w:rsidRDefault="003A4B26" w:rsidP="00CE0672">
            <w:pPr>
              <w:ind w:left="127" w:right="164"/>
              <w:jc w:val="both"/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клуба</w:t>
            </w:r>
            <w:r w:rsidRPr="00687C16"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687C16"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  <w:t>Обнинская</w:t>
            </w:r>
            <w:proofErr w:type="spellEnd"/>
            <w:r w:rsidRPr="00687C16"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инициатива»;</w:t>
            </w:r>
          </w:p>
          <w:p w:rsidR="003A4B26" w:rsidRPr="00687C16" w:rsidRDefault="003A4B26" w:rsidP="00CE0672">
            <w:pPr>
              <w:ind w:left="127" w:right="164"/>
              <w:jc w:val="both"/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  <w:t>Создание Агентства городского развития;</w:t>
            </w:r>
          </w:p>
          <w:p w:rsidR="003A4B26" w:rsidRPr="00687C16" w:rsidRDefault="003A4B26" w:rsidP="00CE0672">
            <w:pPr>
              <w:ind w:left="127" w:right="1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7C16">
              <w:rPr>
                <w:rStyle w:val="tgc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Создание </w:t>
            </w:r>
            <w:r w:rsidRPr="00687C1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«Городского молодёжного арт-кластера».</w:t>
            </w:r>
          </w:p>
        </w:tc>
      </w:tr>
    </w:tbl>
    <w:p w:rsidR="009242A8" w:rsidRDefault="009242A8">
      <w:pPr>
        <w:spacing w:line="360" w:lineRule="auto"/>
      </w:pPr>
    </w:p>
    <w:sectPr w:rsidR="009242A8" w:rsidSect="00786719">
      <w:footerReference w:type="default" r:id="rId11"/>
      <w:pgSz w:w="16838" w:h="11906" w:orient="landscape"/>
      <w:pgMar w:top="851" w:right="1134" w:bottom="907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A1" w:rsidRDefault="009B2FA1" w:rsidP="00786719">
      <w:r>
        <w:separator/>
      </w:r>
    </w:p>
  </w:endnote>
  <w:endnote w:type="continuationSeparator" w:id="0">
    <w:p w:rsidR="009B2FA1" w:rsidRDefault="009B2FA1" w:rsidP="007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charset w:val="01"/>
    <w:family w:val="auto"/>
    <w:pitch w:val="default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49" w:rsidRDefault="00753749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155" cy="175895"/>
              <wp:effectExtent l="5080" t="635" r="2540" b="4445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" cy="175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749" w:rsidRDefault="00753749">
                          <w:pPr>
                            <w:pStyle w:val="af2"/>
                            <w:rPr>
                              <w:color w:val="auto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4A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3.55pt;margin-top:.05pt;width:7.65pt;height:13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" stroked="f" strokecolor="#3465a4">
              <v:fill opacity="0"/>
              <v:stroke joinstyle="round"/>
              <v:textbox>
                <w:txbxContent>
                  <w:p w:rsidR="00753749" w:rsidRDefault="00753749">
                    <w:pPr>
                      <w:pStyle w:val="af2"/>
                      <w:rPr>
                        <w:color w:val="auto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4A0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49" w:rsidRDefault="007537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A1" w:rsidRDefault="009B2FA1" w:rsidP="00786719">
      <w:r>
        <w:separator/>
      </w:r>
    </w:p>
  </w:footnote>
  <w:footnote w:type="continuationSeparator" w:id="0">
    <w:p w:rsidR="009B2FA1" w:rsidRDefault="009B2FA1" w:rsidP="0078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87E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</w:rPr>
    </w:lvl>
  </w:abstractNum>
  <w:abstractNum w:abstractNumId="1">
    <w:nsid w:val="6A5E54E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9"/>
    <w:rsid w:val="000061B1"/>
    <w:rsid w:val="00015FB6"/>
    <w:rsid w:val="00040DD9"/>
    <w:rsid w:val="00041D20"/>
    <w:rsid w:val="00067BEC"/>
    <w:rsid w:val="0007130E"/>
    <w:rsid w:val="00072D14"/>
    <w:rsid w:val="00085ECA"/>
    <w:rsid w:val="000B1FB6"/>
    <w:rsid w:val="000C35A2"/>
    <w:rsid w:val="000F72C5"/>
    <w:rsid w:val="001148E5"/>
    <w:rsid w:val="001376D4"/>
    <w:rsid w:val="00150DB6"/>
    <w:rsid w:val="00150F56"/>
    <w:rsid w:val="0017680E"/>
    <w:rsid w:val="00182E77"/>
    <w:rsid w:val="001B22A5"/>
    <w:rsid w:val="001B517E"/>
    <w:rsid w:val="001D6405"/>
    <w:rsid w:val="001E4BCE"/>
    <w:rsid w:val="001F0AF1"/>
    <w:rsid w:val="001F0FF6"/>
    <w:rsid w:val="00207FB5"/>
    <w:rsid w:val="002121A5"/>
    <w:rsid w:val="00283590"/>
    <w:rsid w:val="002B1B64"/>
    <w:rsid w:val="002B2809"/>
    <w:rsid w:val="002B4865"/>
    <w:rsid w:val="002B62F4"/>
    <w:rsid w:val="002C0292"/>
    <w:rsid w:val="002C41F2"/>
    <w:rsid w:val="002D3E5A"/>
    <w:rsid w:val="002E0EF3"/>
    <w:rsid w:val="002F6183"/>
    <w:rsid w:val="00303991"/>
    <w:rsid w:val="00320329"/>
    <w:rsid w:val="0033701B"/>
    <w:rsid w:val="00371DA1"/>
    <w:rsid w:val="00381613"/>
    <w:rsid w:val="00384B68"/>
    <w:rsid w:val="003A189C"/>
    <w:rsid w:val="003A4B26"/>
    <w:rsid w:val="003D09D5"/>
    <w:rsid w:val="003D78F8"/>
    <w:rsid w:val="003F4A05"/>
    <w:rsid w:val="00411FCE"/>
    <w:rsid w:val="004269CB"/>
    <w:rsid w:val="0045429C"/>
    <w:rsid w:val="00461EC0"/>
    <w:rsid w:val="00464CD8"/>
    <w:rsid w:val="004912C0"/>
    <w:rsid w:val="004C27E9"/>
    <w:rsid w:val="004D0372"/>
    <w:rsid w:val="004F59EA"/>
    <w:rsid w:val="00505B94"/>
    <w:rsid w:val="005064E2"/>
    <w:rsid w:val="0051343F"/>
    <w:rsid w:val="0052591C"/>
    <w:rsid w:val="00532C24"/>
    <w:rsid w:val="00544693"/>
    <w:rsid w:val="005506CC"/>
    <w:rsid w:val="005525EE"/>
    <w:rsid w:val="00564BF0"/>
    <w:rsid w:val="005A1466"/>
    <w:rsid w:val="005E2565"/>
    <w:rsid w:val="00606BBF"/>
    <w:rsid w:val="00666C51"/>
    <w:rsid w:val="00687C16"/>
    <w:rsid w:val="006A1317"/>
    <w:rsid w:val="006C4BCD"/>
    <w:rsid w:val="006D791F"/>
    <w:rsid w:val="00711689"/>
    <w:rsid w:val="00715C9C"/>
    <w:rsid w:val="0072647C"/>
    <w:rsid w:val="00737878"/>
    <w:rsid w:val="00753749"/>
    <w:rsid w:val="00764994"/>
    <w:rsid w:val="007856EB"/>
    <w:rsid w:val="00786719"/>
    <w:rsid w:val="007B6CD4"/>
    <w:rsid w:val="00804137"/>
    <w:rsid w:val="00824BC0"/>
    <w:rsid w:val="00861D49"/>
    <w:rsid w:val="00867C87"/>
    <w:rsid w:val="0087656C"/>
    <w:rsid w:val="008C4DD2"/>
    <w:rsid w:val="008F03A8"/>
    <w:rsid w:val="00906C5A"/>
    <w:rsid w:val="009242A8"/>
    <w:rsid w:val="00945862"/>
    <w:rsid w:val="00960A21"/>
    <w:rsid w:val="00961D0B"/>
    <w:rsid w:val="00964516"/>
    <w:rsid w:val="00971D32"/>
    <w:rsid w:val="009A1F27"/>
    <w:rsid w:val="009A7911"/>
    <w:rsid w:val="009B2FA1"/>
    <w:rsid w:val="009B3B3F"/>
    <w:rsid w:val="009B3C02"/>
    <w:rsid w:val="009C5B91"/>
    <w:rsid w:val="00A11903"/>
    <w:rsid w:val="00A258D4"/>
    <w:rsid w:val="00A7459C"/>
    <w:rsid w:val="00A77186"/>
    <w:rsid w:val="00A928A7"/>
    <w:rsid w:val="00AB0F6F"/>
    <w:rsid w:val="00AB5D9F"/>
    <w:rsid w:val="00AB69E5"/>
    <w:rsid w:val="00AF41C8"/>
    <w:rsid w:val="00B05209"/>
    <w:rsid w:val="00B12C5A"/>
    <w:rsid w:val="00B2170D"/>
    <w:rsid w:val="00B4478C"/>
    <w:rsid w:val="00B6406D"/>
    <w:rsid w:val="00B93A37"/>
    <w:rsid w:val="00BC44FA"/>
    <w:rsid w:val="00BC77A6"/>
    <w:rsid w:val="00C07215"/>
    <w:rsid w:val="00C16938"/>
    <w:rsid w:val="00C23E71"/>
    <w:rsid w:val="00C37464"/>
    <w:rsid w:val="00C56742"/>
    <w:rsid w:val="00CB51C4"/>
    <w:rsid w:val="00CE0672"/>
    <w:rsid w:val="00CE6567"/>
    <w:rsid w:val="00CE77C7"/>
    <w:rsid w:val="00D00842"/>
    <w:rsid w:val="00D467CE"/>
    <w:rsid w:val="00D62735"/>
    <w:rsid w:val="00D846AB"/>
    <w:rsid w:val="00D847BE"/>
    <w:rsid w:val="00DA4FB7"/>
    <w:rsid w:val="00DF228A"/>
    <w:rsid w:val="00DF6CE7"/>
    <w:rsid w:val="00E02486"/>
    <w:rsid w:val="00E030C5"/>
    <w:rsid w:val="00E40925"/>
    <w:rsid w:val="00E41C00"/>
    <w:rsid w:val="00E5240F"/>
    <w:rsid w:val="00E81161"/>
    <w:rsid w:val="00EA433F"/>
    <w:rsid w:val="00EA6EEC"/>
    <w:rsid w:val="00ED758F"/>
    <w:rsid w:val="00F2284A"/>
    <w:rsid w:val="00F32E86"/>
    <w:rsid w:val="00F932AE"/>
    <w:rsid w:val="00FC537A"/>
    <w:rsid w:val="00FD0068"/>
    <w:rsid w:val="00FD5C57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п_список1 Знак"/>
    <w:uiPriority w:val="99"/>
    <w:locked/>
    <w:rsid w:val="00461EC0"/>
    <w:rPr>
      <w:rFonts w:ascii="Times New Roman" w:hAnsi="Times New Roman" w:cs="Arial Unicode MS"/>
      <w:color w:val="000000"/>
      <w:u w:val="none" w:color="000000"/>
    </w:rPr>
  </w:style>
  <w:style w:type="character" w:customStyle="1" w:styleId="-">
    <w:name w:val="Интернет-ссылка"/>
    <w:uiPriority w:val="99"/>
    <w:rsid w:val="00461EC0"/>
    <w:rPr>
      <w:u w:val="single"/>
    </w:rPr>
  </w:style>
  <w:style w:type="character" w:styleId="a3">
    <w:name w:val="FollowedHyperlink"/>
    <w:uiPriority w:val="99"/>
    <w:semiHidden/>
    <w:rsid w:val="00461EC0"/>
    <w:rPr>
      <w:rFonts w:cs="Times New Roman"/>
      <w:color w:val="800080"/>
      <w:u w:val="single"/>
    </w:rPr>
  </w:style>
  <w:style w:type="character" w:customStyle="1" w:styleId="-0">
    <w:name w:val="тп-обычный Знак"/>
    <w:uiPriority w:val="99"/>
    <w:rsid w:val="00461EC0"/>
    <w:rPr>
      <w:rFonts w:ascii="Times New Roman" w:hAnsi="Times New Roman" w:cs="Arial Unicode MS"/>
      <w:color w:val="000000"/>
      <w:u w:val="none" w:color="000000"/>
      <w:lang w:val="en-US"/>
    </w:rPr>
  </w:style>
  <w:style w:type="character" w:customStyle="1" w:styleId="tgc">
    <w:name w:val="_tgc"/>
    <w:uiPriority w:val="99"/>
    <w:rsid w:val="00461EC0"/>
    <w:rPr>
      <w:lang w:val="ru-RU"/>
    </w:rPr>
  </w:style>
  <w:style w:type="character" w:customStyle="1" w:styleId="2">
    <w:name w:val="Основной текст 2 Знак"/>
    <w:uiPriority w:val="99"/>
    <w:locked/>
    <w:rsid w:val="00461EC0"/>
    <w:rPr>
      <w:rFonts w:cs="Times New Roman"/>
    </w:rPr>
  </w:style>
  <w:style w:type="character" w:customStyle="1" w:styleId="a4">
    <w:name w:val="Абзац списка Знак"/>
    <w:uiPriority w:val="99"/>
    <w:locked/>
    <w:rsid w:val="00461EC0"/>
    <w:rPr>
      <w:rFonts w:cs="Times New Roman"/>
    </w:rPr>
  </w:style>
  <w:style w:type="character" w:customStyle="1" w:styleId="s31">
    <w:name w:val="s31"/>
    <w:uiPriority w:val="99"/>
    <w:rsid w:val="00461EC0"/>
    <w:rPr>
      <w:rFonts w:cs="Times New Roman"/>
    </w:rPr>
  </w:style>
  <w:style w:type="character" w:customStyle="1" w:styleId="a5">
    <w:name w:val="Нижний колонтитул Знак"/>
    <w:uiPriority w:val="99"/>
    <w:rsid w:val="00461EC0"/>
    <w:rPr>
      <w:rFonts w:cs="Times New Roman"/>
    </w:rPr>
  </w:style>
  <w:style w:type="character" w:styleId="a6">
    <w:name w:val="page number"/>
    <w:uiPriority w:val="99"/>
    <w:semiHidden/>
    <w:rsid w:val="00461EC0"/>
    <w:rPr>
      <w:rFonts w:cs="Times New Roman"/>
    </w:rPr>
  </w:style>
  <w:style w:type="character" w:customStyle="1" w:styleId="a7">
    <w:name w:val="Текст выноски Знак"/>
    <w:uiPriority w:val="99"/>
    <w:semiHidden/>
    <w:rsid w:val="00461EC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uiPriority w:val="99"/>
    <w:rsid w:val="00786719"/>
  </w:style>
  <w:style w:type="character" w:customStyle="1" w:styleId="ListLabel21">
    <w:name w:val="ListLabel 21"/>
    <w:uiPriority w:val="99"/>
    <w:rsid w:val="00786719"/>
  </w:style>
  <w:style w:type="character" w:customStyle="1" w:styleId="ListLabel22">
    <w:name w:val="ListLabel 22"/>
    <w:uiPriority w:val="99"/>
    <w:rsid w:val="00786719"/>
  </w:style>
  <w:style w:type="character" w:customStyle="1" w:styleId="ListLabel23">
    <w:name w:val="ListLabel 23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paragraph" w:customStyle="1" w:styleId="a8">
    <w:name w:val="Заголовок"/>
    <w:basedOn w:val="a"/>
    <w:next w:val="a9"/>
    <w:uiPriority w:val="99"/>
    <w:rsid w:val="0078671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9">
    <w:name w:val="Body Text"/>
    <w:basedOn w:val="a"/>
    <w:link w:val="aa"/>
    <w:uiPriority w:val="99"/>
    <w:rsid w:val="00786719"/>
    <w:pPr>
      <w:spacing w:after="140" w:line="288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styleId="ab">
    <w:name w:val="List"/>
    <w:basedOn w:val="a9"/>
    <w:uiPriority w:val="99"/>
    <w:rsid w:val="00786719"/>
    <w:rPr>
      <w:rFonts w:cs="Lohit Devanagari"/>
    </w:rPr>
  </w:style>
  <w:style w:type="paragraph" w:styleId="ac">
    <w:name w:val="caption"/>
    <w:basedOn w:val="a"/>
    <w:uiPriority w:val="99"/>
    <w:qFormat/>
    <w:rsid w:val="00786719"/>
    <w:pPr>
      <w:suppressLineNumbers/>
      <w:spacing w:before="120" w:after="120"/>
    </w:pPr>
    <w:rPr>
      <w:rFonts w:cs="Lohit Devanagari"/>
      <w:i/>
      <w:iCs/>
    </w:rPr>
  </w:style>
  <w:style w:type="paragraph" w:styleId="10">
    <w:name w:val="index 1"/>
    <w:basedOn w:val="a"/>
    <w:next w:val="a"/>
    <w:autoRedefine/>
    <w:uiPriority w:val="99"/>
    <w:semiHidden/>
    <w:rsid w:val="00461EC0"/>
    <w:pPr>
      <w:ind w:left="240" w:hanging="240"/>
    </w:pPr>
  </w:style>
  <w:style w:type="paragraph" w:styleId="ad">
    <w:name w:val="index heading"/>
    <w:basedOn w:val="a"/>
    <w:uiPriority w:val="99"/>
    <w:rsid w:val="00786719"/>
    <w:pPr>
      <w:suppressLineNumbers/>
    </w:pPr>
    <w:rPr>
      <w:rFonts w:cs="Lohit Devanagari"/>
    </w:rPr>
  </w:style>
  <w:style w:type="paragraph" w:styleId="ae">
    <w:name w:val="List Paragraph"/>
    <w:basedOn w:val="a"/>
    <w:uiPriority w:val="99"/>
    <w:qFormat/>
    <w:rsid w:val="00461EC0"/>
    <w:pPr>
      <w:ind w:left="720"/>
      <w:contextualSpacing/>
    </w:pPr>
  </w:style>
  <w:style w:type="paragraph" w:customStyle="1" w:styleId="11">
    <w:name w:val="тп_список1"/>
    <w:basedOn w:val="a"/>
    <w:uiPriority w:val="99"/>
    <w:rsid w:val="00461EC0"/>
    <w:pPr>
      <w:tabs>
        <w:tab w:val="left" w:pos="1134"/>
      </w:tabs>
      <w:spacing w:line="360" w:lineRule="auto"/>
      <w:ind w:firstLine="709"/>
      <w:jc w:val="both"/>
    </w:pPr>
    <w:rPr>
      <w:rFonts w:ascii="Times New Roman" w:hAnsi="Times New Roman" w:cs="Arial Unicode MS"/>
      <w:color w:val="000000"/>
      <w:u w:color="000000"/>
    </w:rPr>
  </w:style>
  <w:style w:type="paragraph" w:customStyle="1" w:styleId="-1">
    <w:name w:val="тп-обычный"/>
    <w:uiPriority w:val="99"/>
    <w:rsid w:val="00461EC0"/>
    <w:pPr>
      <w:spacing w:line="360" w:lineRule="auto"/>
      <w:ind w:firstLine="709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12">
    <w:name w:val="Текст1"/>
    <w:uiPriority w:val="99"/>
    <w:rsid w:val="00461EC0"/>
    <w:rPr>
      <w:rFonts w:ascii="Arial Unicode MS" w:hAnsi="Arial Unicode MS" w:cs="Arial Unicode MS"/>
      <w:color w:val="000000"/>
      <w:sz w:val="22"/>
      <w:szCs w:val="22"/>
    </w:rPr>
  </w:style>
  <w:style w:type="paragraph" w:styleId="20">
    <w:name w:val="Body Text 2"/>
    <w:basedOn w:val="a"/>
    <w:link w:val="21"/>
    <w:uiPriority w:val="99"/>
    <w:rsid w:val="00461EC0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customStyle="1" w:styleId="CenturyGothic9pt-0073">
    <w:name w:val="Стиль Century Gothic 9 pt по ширине Слева:  -007 см После:  3 ..."/>
    <w:basedOn w:val="a"/>
    <w:autoRedefine/>
    <w:uiPriority w:val="99"/>
    <w:rsid w:val="00461EC0"/>
    <w:pPr>
      <w:spacing w:after="60"/>
      <w:jc w:val="center"/>
    </w:pPr>
    <w:rPr>
      <w:rFonts w:ascii="Times New Roman" w:hAnsi="Times New Roman" w:cs="Times New Roman"/>
      <w:sz w:val="20"/>
      <w:szCs w:val="14"/>
    </w:rPr>
  </w:style>
  <w:style w:type="paragraph" w:styleId="af">
    <w:name w:val="Normal (Web)"/>
    <w:basedOn w:val="a"/>
    <w:uiPriority w:val="99"/>
    <w:rsid w:val="00461EC0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f0">
    <w:name w:val="Основной текст документа"/>
    <w:basedOn w:val="a"/>
    <w:uiPriority w:val="99"/>
    <w:rsid w:val="00461EC0"/>
    <w:pPr>
      <w:widowControl w:val="0"/>
      <w:spacing w:before="40" w:after="120"/>
      <w:ind w:firstLine="720"/>
      <w:jc w:val="both"/>
    </w:pPr>
    <w:rPr>
      <w:rFonts w:ascii="Times New Roman" w:hAnsi="Times New Roman" w:cs="Times New Roman"/>
    </w:rPr>
  </w:style>
  <w:style w:type="paragraph" w:styleId="af1">
    <w:name w:val="No Spacing"/>
    <w:uiPriority w:val="99"/>
    <w:qFormat/>
    <w:rsid w:val="00461EC0"/>
    <w:rPr>
      <w:color w:val="00000A"/>
      <w:sz w:val="24"/>
      <w:szCs w:val="24"/>
    </w:rPr>
  </w:style>
  <w:style w:type="paragraph" w:styleId="af2">
    <w:name w:val="footer"/>
    <w:basedOn w:val="a"/>
    <w:link w:val="13"/>
    <w:uiPriority w:val="99"/>
    <w:rsid w:val="00461EC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styleId="af3">
    <w:name w:val="Balloon Text"/>
    <w:basedOn w:val="a"/>
    <w:link w:val="14"/>
    <w:uiPriority w:val="99"/>
    <w:semiHidden/>
    <w:rsid w:val="00461EC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3"/>
    <w:uiPriority w:val="99"/>
    <w:semiHidden/>
    <w:locked/>
    <w:rsid w:val="00AF41C8"/>
    <w:rPr>
      <w:rFonts w:ascii="Times New Roman" w:hAnsi="Times New Roman" w:cs="Times New Roman"/>
      <w:color w:val="00000A"/>
      <w:sz w:val="2"/>
    </w:rPr>
  </w:style>
  <w:style w:type="paragraph" w:customStyle="1" w:styleId="af4">
    <w:name w:val="Содержимое врезки"/>
    <w:basedOn w:val="a"/>
    <w:uiPriority w:val="99"/>
    <w:rsid w:val="00786719"/>
  </w:style>
  <w:style w:type="paragraph" w:customStyle="1" w:styleId="af5">
    <w:name w:val="Содержимое таблицы"/>
    <w:basedOn w:val="a"/>
    <w:uiPriority w:val="99"/>
    <w:rsid w:val="00786719"/>
  </w:style>
  <w:style w:type="paragraph" w:customStyle="1" w:styleId="af6">
    <w:name w:val="Заголовок таблицы"/>
    <w:basedOn w:val="af5"/>
    <w:uiPriority w:val="99"/>
    <w:rsid w:val="00786719"/>
  </w:style>
  <w:style w:type="paragraph" w:customStyle="1" w:styleId="ConsPlusNormal">
    <w:name w:val="ConsPlusNormal"/>
    <w:link w:val="ConsPlusNormal0"/>
    <w:rsid w:val="001148E5"/>
    <w:pPr>
      <w:autoSpaceDE w:val="0"/>
      <w:autoSpaceDN w:val="0"/>
      <w:adjustRightInd w:val="0"/>
    </w:pPr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48E5"/>
    <w:rPr>
      <w:rFonts w:ascii="Times New Roman" w:eastAsia="Calibri" w:hAnsi="Times New Roman" w:cs="Times New Roman"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п_список1 Знак"/>
    <w:uiPriority w:val="99"/>
    <w:locked/>
    <w:rsid w:val="00461EC0"/>
    <w:rPr>
      <w:rFonts w:ascii="Times New Roman" w:hAnsi="Times New Roman" w:cs="Arial Unicode MS"/>
      <w:color w:val="000000"/>
      <w:u w:val="none" w:color="000000"/>
    </w:rPr>
  </w:style>
  <w:style w:type="character" w:customStyle="1" w:styleId="-">
    <w:name w:val="Интернет-ссылка"/>
    <w:uiPriority w:val="99"/>
    <w:rsid w:val="00461EC0"/>
    <w:rPr>
      <w:u w:val="single"/>
    </w:rPr>
  </w:style>
  <w:style w:type="character" w:styleId="a3">
    <w:name w:val="FollowedHyperlink"/>
    <w:uiPriority w:val="99"/>
    <w:semiHidden/>
    <w:rsid w:val="00461EC0"/>
    <w:rPr>
      <w:rFonts w:cs="Times New Roman"/>
      <w:color w:val="800080"/>
      <w:u w:val="single"/>
    </w:rPr>
  </w:style>
  <w:style w:type="character" w:customStyle="1" w:styleId="-0">
    <w:name w:val="тп-обычный Знак"/>
    <w:uiPriority w:val="99"/>
    <w:rsid w:val="00461EC0"/>
    <w:rPr>
      <w:rFonts w:ascii="Times New Roman" w:hAnsi="Times New Roman" w:cs="Arial Unicode MS"/>
      <w:color w:val="000000"/>
      <w:u w:val="none" w:color="000000"/>
      <w:lang w:val="en-US"/>
    </w:rPr>
  </w:style>
  <w:style w:type="character" w:customStyle="1" w:styleId="tgc">
    <w:name w:val="_tgc"/>
    <w:uiPriority w:val="99"/>
    <w:rsid w:val="00461EC0"/>
    <w:rPr>
      <w:lang w:val="ru-RU"/>
    </w:rPr>
  </w:style>
  <w:style w:type="character" w:customStyle="1" w:styleId="2">
    <w:name w:val="Основной текст 2 Знак"/>
    <w:uiPriority w:val="99"/>
    <w:locked/>
    <w:rsid w:val="00461EC0"/>
    <w:rPr>
      <w:rFonts w:cs="Times New Roman"/>
    </w:rPr>
  </w:style>
  <w:style w:type="character" w:customStyle="1" w:styleId="a4">
    <w:name w:val="Абзац списка Знак"/>
    <w:uiPriority w:val="99"/>
    <w:locked/>
    <w:rsid w:val="00461EC0"/>
    <w:rPr>
      <w:rFonts w:cs="Times New Roman"/>
    </w:rPr>
  </w:style>
  <w:style w:type="character" w:customStyle="1" w:styleId="s31">
    <w:name w:val="s31"/>
    <w:uiPriority w:val="99"/>
    <w:rsid w:val="00461EC0"/>
    <w:rPr>
      <w:rFonts w:cs="Times New Roman"/>
    </w:rPr>
  </w:style>
  <w:style w:type="character" w:customStyle="1" w:styleId="a5">
    <w:name w:val="Нижний колонтитул Знак"/>
    <w:uiPriority w:val="99"/>
    <w:rsid w:val="00461EC0"/>
    <w:rPr>
      <w:rFonts w:cs="Times New Roman"/>
    </w:rPr>
  </w:style>
  <w:style w:type="character" w:styleId="a6">
    <w:name w:val="page number"/>
    <w:uiPriority w:val="99"/>
    <w:semiHidden/>
    <w:rsid w:val="00461EC0"/>
    <w:rPr>
      <w:rFonts w:cs="Times New Roman"/>
    </w:rPr>
  </w:style>
  <w:style w:type="character" w:customStyle="1" w:styleId="a7">
    <w:name w:val="Текст выноски Знак"/>
    <w:uiPriority w:val="99"/>
    <w:semiHidden/>
    <w:rsid w:val="00461EC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uiPriority w:val="99"/>
    <w:rsid w:val="00786719"/>
    <w:rPr>
      <w:rFonts w:eastAsia="Times New Roman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uiPriority w:val="99"/>
    <w:rsid w:val="00786719"/>
  </w:style>
  <w:style w:type="character" w:customStyle="1" w:styleId="ListLabel21">
    <w:name w:val="ListLabel 21"/>
    <w:uiPriority w:val="99"/>
    <w:rsid w:val="00786719"/>
  </w:style>
  <w:style w:type="character" w:customStyle="1" w:styleId="ListLabel22">
    <w:name w:val="ListLabel 22"/>
    <w:uiPriority w:val="99"/>
    <w:rsid w:val="00786719"/>
  </w:style>
  <w:style w:type="character" w:customStyle="1" w:styleId="ListLabel23">
    <w:name w:val="ListLabel 23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uiPriority w:val="99"/>
    <w:rsid w:val="00786719"/>
    <w:rPr>
      <w:b/>
      <w:color w:val="00000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uiPriority w:val="99"/>
    <w:rsid w:val="00786719"/>
    <w:rPr>
      <w:color w:val="000000"/>
      <w:spacing w:val="0"/>
      <w:w w:val="100"/>
      <w:position w:val="0"/>
      <w:sz w:val="24"/>
      <w:vertAlign w:val="baseline"/>
    </w:rPr>
  </w:style>
  <w:style w:type="paragraph" w:customStyle="1" w:styleId="a8">
    <w:name w:val="Заголовок"/>
    <w:basedOn w:val="a"/>
    <w:next w:val="a9"/>
    <w:uiPriority w:val="99"/>
    <w:rsid w:val="00786719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9">
    <w:name w:val="Body Text"/>
    <w:basedOn w:val="a"/>
    <w:link w:val="aa"/>
    <w:uiPriority w:val="99"/>
    <w:rsid w:val="00786719"/>
    <w:pPr>
      <w:spacing w:after="140" w:line="288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styleId="ab">
    <w:name w:val="List"/>
    <w:basedOn w:val="a9"/>
    <w:uiPriority w:val="99"/>
    <w:rsid w:val="00786719"/>
    <w:rPr>
      <w:rFonts w:cs="Lohit Devanagari"/>
    </w:rPr>
  </w:style>
  <w:style w:type="paragraph" w:styleId="ac">
    <w:name w:val="caption"/>
    <w:basedOn w:val="a"/>
    <w:uiPriority w:val="99"/>
    <w:qFormat/>
    <w:rsid w:val="00786719"/>
    <w:pPr>
      <w:suppressLineNumbers/>
      <w:spacing w:before="120" w:after="120"/>
    </w:pPr>
    <w:rPr>
      <w:rFonts w:cs="Lohit Devanagari"/>
      <w:i/>
      <w:iCs/>
    </w:rPr>
  </w:style>
  <w:style w:type="paragraph" w:styleId="10">
    <w:name w:val="index 1"/>
    <w:basedOn w:val="a"/>
    <w:next w:val="a"/>
    <w:autoRedefine/>
    <w:uiPriority w:val="99"/>
    <w:semiHidden/>
    <w:rsid w:val="00461EC0"/>
    <w:pPr>
      <w:ind w:left="240" w:hanging="240"/>
    </w:pPr>
  </w:style>
  <w:style w:type="paragraph" w:styleId="ad">
    <w:name w:val="index heading"/>
    <w:basedOn w:val="a"/>
    <w:uiPriority w:val="99"/>
    <w:rsid w:val="00786719"/>
    <w:pPr>
      <w:suppressLineNumbers/>
    </w:pPr>
    <w:rPr>
      <w:rFonts w:cs="Lohit Devanagari"/>
    </w:rPr>
  </w:style>
  <w:style w:type="paragraph" w:styleId="ae">
    <w:name w:val="List Paragraph"/>
    <w:basedOn w:val="a"/>
    <w:uiPriority w:val="99"/>
    <w:qFormat/>
    <w:rsid w:val="00461EC0"/>
    <w:pPr>
      <w:ind w:left="720"/>
      <w:contextualSpacing/>
    </w:pPr>
  </w:style>
  <w:style w:type="paragraph" w:customStyle="1" w:styleId="11">
    <w:name w:val="тп_список1"/>
    <w:basedOn w:val="a"/>
    <w:uiPriority w:val="99"/>
    <w:rsid w:val="00461EC0"/>
    <w:pPr>
      <w:tabs>
        <w:tab w:val="left" w:pos="1134"/>
      </w:tabs>
      <w:spacing w:line="360" w:lineRule="auto"/>
      <w:ind w:firstLine="709"/>
      <w:jc w:val="both"/>
    </w:pPr>
    <w:rPr>
      <w:rFonts w:ascii="Times New Roman" w:hAnsi="Times New Roman" w:cs="Arial Unicode MS"/>
      <w:color w:val="000000"/>
      <w:u w:color="000000"/>
    </w:rPr>
  </w:style>
  <w:style w:type="paragraph" w:customStyle="1" w:styleId="-1">
    <w:name w:val="тп-обычный"/>
    <w:uiPriority w:val="99"/>
    <w:rsid w:val="00461EC0"/>
    <w:pPr>
      <w:spacing w:line="360" w:lineRule="auto"/>
      <w:ind w:firstLine="709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12">
    <w:name w:val="Текст1"/>
    <w:uiPriority w:val="99"/>
    <w:rsid w:val="00461EC0"/>
    <w:rPr>
      <w:rFonts w:ascii="Arial Unicode MS" w:hAnsi="Arial Unicode MS" w:cs="Arial Unicode MS"/>
      <w:color w:val="000000"/>
      <w:sz w:val="22"/>
      <w:szCs w:val="22"/>
    </w:rPr>
  </w:style>
  <w:style w:type="paragraph" w:styleId="20">
    <w:name w:val="Body Text 2"/>
    <w:basedOn w:val="a"/>
    <w:link w:val="21"/>
    <w:uiPriority w:val="99"/>
    <w:rsid w:val="00461EC0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customStyle="1" w:styleId="CenturyGothic9pt-0073">
    <w:name w:val="Стиль Century Gothic 9 pt по ширине Слева:  -007 см После:  3 ..."/>
    <w:basedOn w:val="a"/>
    <w:autoRedefine/>
    <w:uiPriority w:val="99"/>
    <w:rsid w:val="00461EC0"/>
    <w:pPr>
      <w:spacing w:after="60"/>
      <w:jc w:val="center"/>
    </w:pPr>
    <w:rPr>
      <w:rFonts w:ascii="Times New Roman" w:hAnsi="Times New Roman" w:cs="Times New Roman"/>
      <w:sz w:val="20"/>
      <w:szCs w:val="14"/>
    </w:rPr>
  </w:style>
  <w:style w:type="paragraph" w:styleId="af">
    <w:name w:val="Normal (Web)"/>
    <w:basedOn w:val="a"/>
    <w:uiPriority w:val="99"/>
    <w:rsid w:val="00461EC0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f0">
    <w:name w:val="Основной текст документа"/>
    <w:basedOn w:val="a"/>
    <w:uiPriority w:val="99"/>
    <w:rsid w:val="00461EC0"/>
    <w:pPr>
      <w:widowControl w:val="0"/>
      <w:spacing w:before="40" w:after="120"/>
      <w:ind w:firstLine="720"/>
      <w:jc w:val="both"/>
    </w:pPr>
    <w:rPr>
      <w:rFonts w:ascii="Times New Roman" w:hAnsi="Times New Roman" w:cs="Times New Roman"/>
    </w:rPr>
  </w:style>
  <w:style w:type="paragraph" w:styleId="af1">
    <w:name w:val="No Spacing"/>
    <w:uiPriority w:val="99"/>
    <w:qFormat/>
    <w:rsid w:val="00461EC0"/>
    <w:rPr>
      <w:color w:val="00000A"/>
      <w:sz w:val="24"/>
      <w:szCs w:val="24"/>
    </w:rPr>
  </w:style>
  <w:style w:type="paragraph" w:styleId="af2">
    <w:name w:val="footer"/>
    <w:basedOn w:val="a"/>
    <w:link w:val="13"/>
    <w:uiPriority w:val="99"/>
    <w:rsid w:val="00461EC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AF41C8"/>
    <w:rPr>
      <w:rFonts w:cs="Times New Roman"/>
      <w:color w:val="00000A"/>
      <w:sz w:val="24"/>
      <w:szCs w:val="24"/>
    </w:rPr>
  </w:style>
  <w:style w:type="paragraph" w:styleId="af3">
    <w:name w:val="Balloon Text"/>
    <w:basedOn w:val="a"/>
    <w:link w:val="14"/>
    <w:uiPriority w:val="99"/>
    <w:semiHidden/>
    <w:rsid w:val="00461EC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3"/>
    <w:uiPriority w:val="99"/>
    <w:semiHidden/>
    <w:locked/>
    <w:rsid w:val="00AF41C8"/>
    <w:rPr>
      <w:rFonts w:ascii="Times New Roman" w:hAnsi="Times New Roman" w:cs="Times New Roman"/>
      <w:color w:val="00000A"/>
      <w:sz w:val="2"/>
    </w:rPr>
  </w:style>
  <w:style w:type="paragraph" w:customStyle="1" w:styleId="af4">
    <w:name w:val="Содержимое врезки"/>
    <w:basedOn w:val="a"/>
    <w:uiPriority w:val="99"/>
    <w:rsid w:val="00786719"/>
  </w:style>
  <w:style w:type="paragraph" w:customStyle="1" w:styleId="af5">
    <w:name w:val="Содержимое таблицы"/>
    <w:basedOn w:val="a"/>
    <w:uiPriority w:val="99"/>
    <w:rsid w:val="00786719"/>
  </w:style>
  <w:style w:type="paragraph" w:customStyle="1" w:styleId="af6">
    <w:name w:val="Заголовок таблицы"/>
    <w:basedOn w:val="af5"/>
    <w:uiPriority w:val="99"/>
    <w:rsid w:val="00786719"/>
  </w:style>
  <w:style w:type="paragraph" w:customStyle="1" w:styleId="ConsPlusNormal">
    <w:name w:val="ConsPlusNormal"/>
    <w:link w:val="ConsPlusNormal0"/>
    <w:rsid w:val="001148E5"/>
    <w:pPr>
      <w:autoSpaceDE w:val="0"/>
      <w:autoSpaceDN w:val="0"/>
      <w:adjustRightInd w:val="0"/>
    </w:pPr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148E5"/>
    <w:rPr>
      <w:rFonts w:ascii="Times New Roman" w:eastAsia="Calibri" w:hAnsi="Times New Roman" w:cs="Times New Roman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wps/wcm/connect/fb93efc7-d9ad-4f63-8d51-f0958ae58d3e/1-%25D0%259F%25D1%2580%25D0%25BE%25D0%25B3%25D0%25BD%25D0%25BE%25D0%25B7+%25D0%25BD%25D0%25B0+2016-2018+%25D0%25B3%25D0%25BE%25D0%25B4%25D1%258B.pdf?MOD=AJPERES&amp;CACHEID=fb93efc7-d9ad-4f63-8d51-f0958ae58d3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684666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Pashin</dc:creator>
  <cp:lastModifiedBy>User</cp:lastModifiedBy>
  <cp:revision>13</cp:revision>
  <cp:lastPrinted>2020-03-24T12:49:00Z</cp:lastPrinted>
  <dcterms:created xsi:type="dcterms:W3CDTF">2019-09-03T14:06:00Z</dcterms:created>
  <dcterms:modified xsi:type="dcterms:W3CDTF">2020-03-24T13:30:00Z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