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7B49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21AC9DA0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7627D192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709FD50F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3EBD8694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07E0A56D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5036E8EA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65923A30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35CF33D5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69043789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61D375B5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08579306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22B000BC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5518DE93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361F82AC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71E4CF15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71E94738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1D5E3372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41E858E2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09A69FFC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58543DC5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32D28363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5107381E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1D00B7DC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3F9A280C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17FF25E2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325D1A8E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38D0900E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34333417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2B622961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6FDA2B9A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1FC7AA15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49D4BA46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00FAF6AF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36D65697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57C4AF7A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2F8CD1B5" w14:textId="77777777" w:rsidR="002975E0" w:rsidRPr="00960D40" w:rsidRDefault="002975E0" w:rsidP="002975E0">
      <w:pPr>
        <w:widowControl w:val="0"/>
        <w:suppressAutoHyphens w:val="0"/>
        <w:autoSpaceDE w:val="0"/>
        <w:autoSpaceDN w:val="0"/>
        <w:jc w:val="right"/>
        <w:outlineLvl w:val="0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Приложение</w:t>
      </w:r>
    </w:p>
    <w:p w14:paraId="4855E64B" w14:textId="77777777" w:rsidR="002975E0" w:rsidRPr="00780190" w:rsidRDefault="002975E0" w:rsidP="002975E0">
      <w:pPr>
        <w:widowControl w:val="0"/>
        <w:suppressAutoHyphens w:val="0"/>
        <w:autoSpaceDE w:val="0"/>
        <w:autoSpaceDN w:val="0"/>
        <w:jc w:val="right"/>
        <w:rPr>
          <w:b w:val="0"/>
          <w:szCs w:val="26"/>
          <w:lang w:eastAsia="ru-RU"/>
        </w:rPr>
      </w:pPr>
      <w:r w:rsidRPr="00960D40">
        <w:rPr>
          <w:b w:val="0"/>
          <w:szCs w:val="26"/>
          <w:lang w:eastAsia="ru-RU"/>
        </w:rPr>
        <w:t xml:space="preserve">к </w:t>
      </w:r>
      <w:r w:rsidRPr="00780190">
        <w:rPr>
          <w:b w:val="0"/>
          <w:szCs w:val="26"/>
          <w:lang w:eastAsia="ru-RU"/>
        </w:rPr>
        <w:t>Постановлению</w:t>
      </w:r>
    </w:p>
    <w:p w14:paraId="2270A769" w14:textId="77777777" w:rsidR="002975E0" w:rsidRPr="00960D40" w:rsidRDefault="002975E0" w:rsidP="002975E0">
      <w:pPr>
        <w:widowControl w:val="0"/>
        <w:suppressAutoHyphens w:val="0"/>
        <w:autoSpaceDE w:val="0"/>
        <w:autoSpaceDN w:val="0"/>
        <w:jc w:val="right"/>
        <w:rPr>
          <w:b w:val="0"/>
          <w:szCs w:val="26"/>
          <w:lang w:eastAsia="ru-RU"/>
        </w:rPr>
      </w:pPr>
      <w:r w:rsidRPr="00780190">
        <w:rPr>
          <w:b w:val="0"/>
          <w:szCs w:val="26"/>
          <w:lang w:eastAsia="ru-RU"/>
        </w:rPr>
        <w:t>администрации</w:t>
      </w:r>
      <w:r w:rsidRPr="00960D40">
        <w:rPr>
          <w:b w:val="0"/>
          <w:szCs w:val="26"/>
          <w:lang w:eastAsia="ru-RU"/>
        </w:rPr>
        <w:t xml:space="preserve"> города</w:t>
      </w:r>
    </w:p>
    <w:p w14:paraId="56D32AA7" w14:textId="77777777" w:rsidR="002975E0" w:rsidRPr="00960D40" w:rsidRDefault="002975E0" w:rsidP="002975E0">
      <w:pPr>
        <w:widowControl w:val="0"/>
        <w:suppressAutoHyphens w:val="0"/>
        <w:autoSpaceDE w:val="0"/>
        <w:autoSpaceDN w:val="0"/>
        <w:jc w:val="right"/>
        <w:rPr>
          <w:b w:val="0"/>
          <w:szCs w:val="26"/>
          <w:lang w:eastAsia="ru-RU"/>
        </w:rPr>
      </w:pPr>
      <w:r w:rsidRPr="00960D40">
        <w:rPr>
          <w:b w:val="0"/>
          <w:szCs w:val="26"/>
          <w:lang w:eastAsia="ru-RU"/>
        </w:rPr>
        <w:t xml:space="preserve">от </w:t>
      </w:r>
      <w:r>
        <w:rPr>
          <w:b w:val="0"/>
          <w:szCs w:val="26"/>
          <w:u w:val="single"/>
          <w:lang w:eastAsia="ru-RU"/>
        </w:rPr>
        <w:t>30.04.2026</w:t>
      </w:r>
      <w:r w:rsidRPr="00180E7F">
        <w:rPr>
          <w:b w:val="0"/>
          <w:szCs w:val="26"/>
          <w:lang w:eastAsia="ru-RU"/>
        </w:rPr>
        <w:t xml:space="preserve"> </w:t>
      </w:r>
      <w:r w:rsidRPr="00960D40">
        <w:rPr>
          <w:b w:val="0"/>
          <w:szCs w:val="26"/>
          <w:lang w:eastAsia="ru-RU"/>
        </w:rPr>
        <w:t>№</w:t>
      </w:r>
      <w:r>
        <w:rPr>
          <w:b w:val="0"/>
          <w:szCs w:val="26"/>
          <w:lang w:eastAsia="ru-RU"/>
        </w:rPr>
        <w:t xml:space="preserve"> </w:t>
      </w:r>
      <w:r w:rsidRPr="00A25359">
        <w:rPr>
          <w:b w:val="0"/>
          <w:szCs w:val="26"/>
          <w:u w:val="single"/>
          <w:lang w:eastAsia="ru-RU"/>
        </w:rPr>
        <w:t xml:space="preserve">  </w:t>
      </w:r>
      <w:r>
        <w:rPr>
          <w:b w:val="0"/>
          <w:szCs w:val="26"/>
          <w:u w:val="single"/>
          <w:lang w:eastAsia="ru-RU"/>
        </w:rPr>
        <w:t xml:space="preserve">904-п </w:t>
      </w:r>
      <w:r w:rsidRPr="000874A4">
        <w:rPr>
          <w:b w:val="0"/>
          <w:color w:val="FFFFFF"/>
          <w:szCs w:val="26"/>
          <w:u w:val="single"/>
          <w:lang w:eastAsia="ru-RU"/>
        </w:rPr>
        <w:t>.</w:t>
      </w:r>
      <w:r>
        <w:rPr>
          <w:b w:val="0"/>
          <w:szCs w:val="26"/>
          <w:u w:val="single"/>
          <w:lang w:eastAsia="ru-RU"/>
        </w:rPr>
        <w:t xml:space="preserve">            </w:t>
      </w:r>
    </w:p>
    <w:p w14:paraId="7E183BC1" w14:textId="77777777" w:rsidR="002975E0" w:rsidRPr="00960D40" w:rsidRDefault="002975E0" w:rsidP="002975E0">
      <w:pPr>
        <w:widowControl w:val="0"/>
        <w:suppressAutoHyphens w:val="0"/>
        <w:autoSpaceDE w:val="0"/>
        <w:autoSpaceDN w:val="0"/>
        <w:jc w:val="right"/>
        <w:outlineLvl w:val="0"/>
        <w:rPr>
          <w:b w:val="0"/>
          <w:szCs w:val="26"/>
          <w:lang w:eastAsia="ru-RU"/>
        </w:rPr>
      </w:pPr>
    </w:p>
    <w:p w14:paraId="02B95B52" w14:textId="77777777" w:rsidR="002975E0" w:rsidRPr="00960D40" w:rsidRDefault="002975E0" w:rsidP="002975E0">
      <w:pPr>
        <w:widowControl w:val="0"/>
        <w:suppressAutoHyphens w:val="0"/>
        <w:autoSpaceDE w:val="0"/>
        <w:autoSpaceDN w:val="0"/>
        <w:jc w:val="right"/>
        <w:outlineLvl w:val="0"/>
        <w:rPr>
          <w:b w:val="0"/>
          <w:szCs w:val="26"/>
          <w:lang w:eastAsia="ru-RU"/>
        </w:rPr>
      </w:pPr>
      <w:r w:rsidRPr="00960D40">
        <w:rPr>
          <w:b w:val="0"/>
          <w:szCs w:val="26"/>
          <w:lang w:eastAsia="ru-RU"/>
        </w:rPr>
        <w:t xml:space="preserve">Приложение </w:t>
      </w:r>
    </w:p>
    <w:p w14:paraId="1BF1042D" w14:textId="77777777" w:rsidR="002975E0" w:rsidRPr="00960D40" w:rsidRDefault="002975E0" w:rsidP="002975E0">
      <w:pPr>
        <w:widowControl w:val="0"/>
        <w:suppressAutoHyphens w:val="0"/>
        <w:autoSpaceDE w:val="0"/>
        <w:autoSpaceDN w:val="0"/>
        <w:jc w:val="right"/>
        <w:rPr>
          <w:b w:val="0"/>
          <w:szCs w:val="26"/>
          <w:lang w:eastAsia="ru-RU"/>
        </w:rPr>
      </w:pPr>
      <w:r w:rsidRPr="00960D40">
        <w:rPr>
          <w:b w:val="0"/>
          <w:szCs w:val="26"/>
          <w:lang w:eastAsia="ru-RU"/>
        </w:rPr>
        <w:t>к Постановлению</w:t>
      </w:r>
    </w:p>
    <w:p w14:paraId="0839EC59" w14:textId="77777777" w:rsidR="002975E0" w:rsidRPr="00960D40" w:rsidRDefault="002975E0" w:rsidP="002975E0">
      <w:pPr>
        <w:widowControl w:val="0"/>
        <w:suppressAutoHyphens w:val="0"/>
        <w:autoSpaceDE w:val="0"/>
        <w:autoSpaceDN w:val="0"/>
        <w:jc w:val="right"/>
        <w:rPr>
          <w:b w:val="0"/>
          <w:szCs w:val="26"/>
          <w:lang w:eastAsia="ru-RU"/>
        </w:rPr>
      </w:pPr>
      <w:r w:rsidRPr="00960D40">
        <w:rPr>
          <w:b w:val="0"/>
          <w:szCs w:val="26"/>
          <w:lang w:eastAsia="ru-RU"/>
        </w:rPr>
        <w:t>Администрации города</w:t>
      </w:r>
    </w:p>
    <w:p w14:paraId="312CCD14" w14:textId="77777777" w:rsidR="002975E0" w:rsidRPr="00960D40" w:rsidRDefault="002975E0" w:rsidP="002975E0">
      <w:pPr>
        <w:widowControl w:val="0"/>
        <w:suppressAutoHyphens w:val="0"/>
        <w:autoSpaceDE w:val="0"/>
        <w:autoSpaceDN w:val="0"/>
        <w:jc w:val="right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от 06.09.2021 № 2083</w:t>
      </w:r>
      <w:r w:rsidRPr="00960D40">
        <w:rPr>
          <w:b w:val="0"/>
          <w:szCs w:val="26"/>
          <w:lang w:eastAsia="ru-RU"/>
        </w:rPr>
        <w:t>-п</w:t>
      </w:r>
    </w:p>
    <w:p w14:paraId="1EC43B54" w14:textId="77777777" w:rsidR="002975E0" w:rsidRDefault="002975E0" w:rsidP="002975E0">
      <w:pPr>
        <w:ind w:right="-171"/>
        <w:rPr>
          <w:b w:val="0"/>
          <w:bCs/>
        </w:rPr>
      </w:pPr>
    </w:p>
    <w:p w14:paraId="6924CECB" w14:textId="77777777" w:rsidR="002975E0" w:rsidRPr="00AA7CD8" w:rsidRDefault="002975E0" w:rsidP="002975E0">
      <w:pPr>
        <w:ind w:right="-171"/>
        <w:rPr>
          <w:b w:val="0"/>
          <w:bCs/>
        </w:rPr>
      </w:pPr>
    </w:p>
    <w:p w14:paraId="441E3450" w14:textId="77777777" w:rsidR="002975E0" w:rsidRPr="00C25007" w:rsidRDefault="002975E0" w:rsidP="002975E0">
      <w:pPr>
        <w:suppressAutoHyphens w:val="0"/>
        <w:autoSpaceDE w:val="0"/>
        <w:autoSpaceDN w:val="0"/>
        <w:adjustRightInd w:val="0"/>
        <w:jc w:val="center"/>
        <w:rPr>
          <w:bCs/>
          <w:szCs w:val="26"/>
          <w:lang w:eastAsia="ru-RU"/>
        </w:rPr>
      </w:pPr>
      <w:r>
        <w:rPr>
          <w:bCs/>
          <w:szCs w:val="26"/>
          <w:lang w:eastAsia="ru-RU"/>
        </w:rPr>
        <w:t>С</w:t>
      </w:r>
      <w:r w:rsidRPr="00C25007">
        <w:rPr>
          <w:bCs/>
          <w:szCs w:val="26"/>
          <w:lang w:eastAsia="ru-RU"/>
        </w:rPr>
        <w:t>ОЦИАЛЬНЫЙ СТАНДАРТ</w:t>
      </w:r>
    </w:p>
    <w:p w14:paraId="55C9B07C" w14:textId="77777777" w:rsidR="002975E0" w:rsidRPr="00C25007" w:rsidRDefault="002975E0" w:rsidP="002975E0">
      <w:pPr>
        <w:suppressAutoHyphens w:val="0"/>
        <w:autoSpaceDE w:val="0"/>
        <w:autoSpaceDN w:val="0"/>
        <w:adjustRightInd w:val="0"/>
        <w:jc w:val="center"/>
        <w:rPr>
          <w:bCs/>
          <w:szCs w:val="26"/>
          <w:lang w:eastAsia="ru-RU"/>
        </w:rPr>
      </w:pPr>
      <w:r w:rsidRPr="00C25007">
        <w:rPr>
          <w:bCs/>
          <w:szCs w:val="26"/>
          <w:lang w:eastAsia="ru-RU"/>
        </w:rPr>
        <w:t>ТРАНСПОРТНОГО ОБСЛУЖИВАНИЯ НАСЕЛЕНИЯ ПРИ ОСУЩЕСТВЛЕНИИ</w:t>
      </w:r>
      <w:r>
        <w:rPr>
          <w:bCs/>
          <w:szCs w:val="26"/>
          <w:lang w:eastAsia="ru-RU"/>
        </w:rPr>
        <w:t xml:space="preserve"> </w:t>
      </w:r>
      <w:r w:rsidRPr="00C25007">
        <w:rPr>
          <w:bCs/>
          <w:szCs w:val="26"/>
          <w:lang w:eastAsia="ru-RU"/>
        </w:rPr>
        <w:t>ПЕРЕВОЗОК ПАССАЖИРОВ И БАГАЖА АВТОМОБИЛЬНЫМ ТРАНСПОРТОМ</w:t>
      </w:r>
      <w:r>
        <w:rPr>
          <w:bCs/>
          <w:szCs w:val="26"/>
          <w:lang w:eastAsia="ru-RU"/>
        </w:rPr>
        <w:t xml:space="preserve"> </w:t>
      </w:r>
      <w:r w:rsidRPr="00C25007">
        <w:rPr>
          <w:bCs/>
          <w:szCs w:val="26"/>
          <w:lang w:eastAsia="ru-RU"/>
        </w:rPr>
        <w:t>НА ТЕРРИТОРИИ</w:t>
      </w:r>
    </w:p>
    <w:p w14:paraId="35847391" w14:textId="77777777" w:rsidR="002975E0" w:rsidRPr="00C25007" w:rsidRDefault="002975E0" w:rsidP="002975E0">
      <w:pPr>
        <w:suppressAutoHyphens w:val="0"/>
        <w:autoSpaceDE w:val="0"/>
        <w:autoSpaceDN w:val="0"/>
        <w:adjustRightInd w:val="0"/>
        <w:jc w:val="center"/>
        <w:rPr>
          <w:bCs/>
          <w:szCs w:val="26"/>
          <w:lang w:eastAsia="ru-RU"/>
        </w:rPr>
      </w:pPr>
      <w:r>
        <w:rPr>
          <w:bCs/>
          <w:szCs w:val="26"/>
          <w:lang w:eastAsia="ru-RU"/>
        </w:rPr>
        <w:lastRenderedPageBreak/>
        <w:t>ГОРОДСК</w:t>
      </w:r>
      <w:r w:rsidRPr="00C25007">
        <w:rPr>
          <w:bCs/>
          <w:szCs w:val="26"/>
          <w:lang w:eastAsia="ru-RU"/>
        </w:rPr>
        <w:t>ОГО О</w:t>
      </w:r>
      <w:r>
        <w:rPr>
          <w:bCs/>
          <w:szCs w:val="26"/>
          <w:lang w:eastAsia="ru-RU"/>
        </w:rPr>
        <w:t>КРУГА</w:t>
      </w:r>
      <w:r w:rsidRPr="00C25007">
        <w:rPr>
          <w:bCs/>
          <w:szCs w:val="26"/>
          <w:lang w:eastAsia="ru-RU"/>
        </w:rPr>
        <w:t xml:space="preserve"> ГОРОД</w:t>
      </w:r>
      <w:r>
        <w:rPr>
          <w:bCs/>
          <w:szCs w:val="26"/>
          <w:lang w:eastAsia="ru-RU"/>
        </w:rPr>
        <w:t>А</w:t>
      </w:r>
      <w:r w:rsidRPr="00C25007">
        <w:rPr>
          <w:bCs/>
          <w:szCs w:val="26"/>
          <w:lang w:eastAsia="ru-RU"/>
        </w:rPr>
        <w:t xml:space="preserve"> </w:t>
      </w:r>
      <w:r>
        <w:rPr>
          <w:bCs/>
          <w:szCs w:val="26"/>
          <w:lang w:eastAsia="ru-RU"/>
        </w:rPr>
        <w:t>ОБНИНСКА КАЛУЖСКОЙ ОБЛАСТИ</w:t>
      </w:r>
    </w:p>
    <w:p w14:paraId="35525872" w14:textId="77777777" w:rsidR="002975E0" w:rsidRPr="00C25007" w:rsidRDefault="002975E0" w:rsidP="002975E0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b w:val="0"/>
          <w:szCs w:val="26"/>
          <w:lang w:eastAsia="ru-RU"/>
        </w:rPr>
      </w:pPr>
    </w:p>
    <w:p w14:paraId="3317CDEE" w14:textId="77777777" w:rsidR="002975E0" w:rsidRDefault="002975E0" w:rsidP="002975E0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567"/>
        <w:jc w:val="both"/>
        <w:rPr>
          <w:b w:val="0"/>
          <w:szCs w:val="26"/>
          <w:lang w:eastAsia="ru-RU"/>
        </w:rPr>
      </w:pPr>
      <w:r w:rsidRPr="00C25007">
        <w:rPr>
          <w:b w:val="0"/>
          <w:szCs w:val="26"/>
          <w:lang w:eastAsia="ru-RU"/>
        </w:rPr>
        <w:t xml:space="preserve">Настоящий Социальный стандарт транспортного обслуживания населения при осуществлении перевозок пассажиров и багажа автомобильным транспортом на территории </w:t>
      </w:r>
      <w:r w:rsidRPr="006A4655">
        <w:rPr>
          <w:b w:val="0"/>
          <w:szCs w:val="26"/>
          <w:lang w:eastAsia="ru-RU"/>
        </w:rPr>
        <w:t>городско</w:t>
      </w:r>
      <w:r>
        <w:rPr>
          <w:b w:val="0"/>
          <w:szCs w:val="26"/>
          <w:lang w:eastAsia="ru-RU"/>
        </w:rPr>
        <w:t>го</w:t>
      </w:r>
      <w:r w:rsidRPr="006A4655">
        <w:rPr>
          <w:b w:val="0"/>
          <w:szCs w:val="26"/>
          <w:lang w:eastAsia="ru-RU"/>
        </w:rPr>
        <w:t xml:space="preserve"> округ</w:t>
      </w:r>
      <w:r>
        <w:rPr>
          <w:b w:val="0"/>
          <w:szCs w:val="26"/>
          <w:lang w:eastAsia="ru-RU"/>
        </w:rPr>
        <w:t>а</w:t>
      </w:r>
      <w:r w:rsidRPr="006A4655">
        <w:rPr>
          <w:b w:val="0"/>
          <w:szCs w:val="26"/>
          <w:lang w:eastAsia="ru-RU"/>
        </w:rPr>
        <w:t xml:space="preserve"> город</w:t>
      </w:r>
      <w:r>
        <w:rPr>
          <w:b w:val="0"/>
          <w:szCs w:val="26"/>
          <w:lang w:eastAsia="ru-RU"/>
        </w:rPr>
        <w:t>а</w:t>
      </w:r>
      <w:r w:rsidRPr="006A4655">
        <w:rPr>
          <w:b w:val="0"/>
          <w:szCs w:val="26"/>
          <w:lang w:eastAsia="ru-RU"/>
        </w:rPr>
        <w:t xml:space="preserve"> Обнинск</w:t>
      </w:r>
      <w:r>
        <w:rPr>
          <w:b w:val="0"/>
          <w:szCs w:val="26"/>
          <w:lang w:eastAsia="ru-RU"/>
        </w:rPr>
        <w:t>а</w:t>
      </w:r>
      <w:r w:rsidRPr="006A4655">
        <w:rPr>
          <w:b w:val="0"/>
          <w:szCs w:val="26"/>
          <w:lang w:eastAsia="ru-RU"/>
        </w:rPr>
        <w:t xml:space="preserve"> Калужской области</w:t>
      </w:r>
      <w:r w:rsidRPr="00C25007">
        <w:rPr>
          <w:b w:val="0"/>
          <w:szCs w:val="26"/>
          <w:lang w:eastAsia="ru-RU"/>
        </w:rPr>
        <w:t xml:space="preserve"> (далее - Стандарт) устанавливает </w:t>
      </w:r>
      <w:r>
        <w:rPr>
          <w:b w:val="0"/>
          <w:szCs w:val="26"/>
          <w:lang w:eastAsia="ru-RU"/>
        </w:rPr>
        <w:t xml:space="preserve">рекомендованные </w:t>
      </w:r>
      <w:r w:rsidRPr="00C25007">
        <w:rPr>
          <w:b w:val="0"/>
          <w:szCs w:val="26"/>
          <w:lang w:eastAsia="ru-RU"/>
        </w:rPr>
        <w:t xml:space="preserve">уровень и показатели качества транспортного обслуживания населения при осуществлении перевозок пассажиров и багажа автомобильным транспортом по муниципальным маршрутам регулярных перевозок в </w:t>
      </w:r>
      <w:r w:rsidRPr="006A4655">
        <w:rPr>
          <w:b w:val="0"/>
          <w:szCs w:val="26"/>
          <w:lang w:eastAsia="ru-RU"/>
        </w:rPr>
        <w:t>городско</w:t>
      </w:r>
      <w:r>
        <w:rPr>
          <w:b w:val="0"/>
          <w:szCs w:val="26"/>
          <w:lang w:eastAsia="ru-RU"/>
        </w:rPr>
        <w:t>м</w:t>
      </w:r>
      <w:r w:rsidRPr="006A4655">
        <w:rPr>
          <w:b w:val="0"/>
          <w:szCs w:val="26"/>
          <w:lang w:eastAsia="ru-RU"/>
        </w:rPr>
        <w:t xml:space="preserve"> округ</w:t>
      </w:r>
      <w:r>
        <w:rPr>
          <w:b w:val="0"/>
          <w:szCs w:val="26"/>
          <w:lang w:eastAsia="ru-RU"/>
        </w:rPr>
        <w:t>е</w:t>
      </w:r>
      <w:r w:rsidRPr="006A4655">
        <w:rPr>
          <w:b w:val="0"/>
          <w:szCs w:val="26"/>
          <w:lang w:eastAsia="ru-RU"/>
        </w:rPr>
        <w:t xml:space="preserve"> город</w:t>
      </w:r>
      <w:r>
        <w:rPr>
          <w:b w:val="0"/>
          <w:szCs w:val="26"/>
          <w:lang w:eastAsia="ru-RU"/>
        </w:rPr>
        <w:t>е</w:t>
      </w:r>
      <w:r w:rsidRPr="006A4655">
        <w:rPr>
          <w:b w:val="0"/>
          <w:szCs w:val="26"/>
          <w:lang w:eastAsia="ru-RU"/>
        </w:rPr>
        <w:t xml:space="preserve"> Обнинск</w:t>
      </w:r>
      <w:r>
        <w:rPr>
          <w:b w:val="0"/>
          <w:szCs w:val="26"/>
          <w:lang w:eastAsia="ru-RU"/>
        </w:rPr>
        <w:t>е</w:t>
      </w:r>
      <w:r w:rsidRPr="006A4655">
        <w:rPr>
          <w:b w:val="0"/>
          <w:szCs w:val="26"/>
          <w:lang w:eastAsia="ru-RU"/>
        </w:rPr>
        <w:t xml:space="preserve"> Калужской области</w:t>
      </w:r>
      <w:r w:rsidRPr="00C25007">
        <w:rPr>
          <w:b w:val="0"/>
          <w:szCs w:val="26"/>
          <w:lang w:eastAsia="ru-RU"/>
        </w:rPr>
        <w:t xml:space="preserve"> и их </w:t>
      </w:r>
      <w:r>
        <w:rPr>
          <w:b w:val="0"/>
          <w:szCs w:val="26"/>
          <w:lang w:eastAsia="ru-RU"/>
        </w:rPr>
        <w:t xml:space="preserve">рекомендуемые </w:t>
      </w:r>
      <w:r w:rsidRPr="00C25007">
        <w:rPr>
          <w:b w:val="0"/>
          <w:szCs w:val="26"/>
          <w:lang w:eastAsia="ru-RU"/>
        </w:rPr>
        <w:t>нормативные значения.</w:t>
      </w:r>
    </w:p>
    <w:p w14:paraId="3343E600" w14:textId="77777777" w:rsidR="002975E0" w:rsidRPr="00F06EF4" w:rsidRDefault="002975E0" w:rsidP="002975E0">
      <w:pPr>
        <w:suppressAutoHyphens w:val="0"/>
        <w:autoSpaceDE w:val="0"/>
        <w:autoSpaceDN w:val="0"/>
        <w:adjustRightInd w:val="0"/>
        <w:ind w:firstLine="567"/>
        <w:jc w:val="both"/>
        <w:rPr>
          <w:b w:val="0"/>
          <w:szCs w:val="26"/>
          <w:lang w:eastAsia="ru-RU"/>
        </w:rPr>
      </w:pPr>
      <w:r w:rsidRPr="00F06EF4">
        <w:rPr>
          <w:b w:val="0"/>
          <w:szCs w:val="26"/>
          <w:lang w:eastAsia="ru-RU"/>
        </w:rPr>
        <w:t xml:space="preserve">Под транспортным обслуживанием населения в настоящем </w:t>
      </w:r>
      <w:r>
        <w:rPr>
          <w:b w:val="0"/>
          <w:szCs w:val="26"/>
          <w:lang w:eastAsia="ru-RU"/>
        </w:rPr>
        <w:t>С</w:t>
      </w:r>
      <w:r w:rsidRPr="00F06EF4">
        <w:rPr>
          <w:b w:val="0"/>
          <w:szCs w:val="26"/>
          <w:lang w:eastAsia="ru-RU"/>
        </w:rPr>
        <w:t xml:space="preserve">тандарте понимается выполнение работ по осуществлению перевозок пассажиров и багажа автомобильным транспортом по </w:t>
      </w:r>
      <w:r>
        <w:rPr>
          <w:b w:val="0"/>
          <w:szCs w:val="26"/>
          <w:lang w:eastAsia="ru-RU"/>
        </w:rPr>
        <w:t xml:space="preserve">муниципальным </w:t>
      </w:r>
      <w:r w:rsidRPr="00F06EF4">
        <w:rPr>
          <w:b w:val="0"/>
          <w:szCs w:val="26"/>
          <w:lang w:eastAsia="ru-RU"/>
        </w:rPr>
        <w:t>маршрутам регулярных перевозок. Качество транспортного обслуживания населения представляет собой интегральную оценку уровня транспортного обслуживания населения при осуществлении перевозок пассажиров и багажа автомобильным транспортом по</w:t>
      </w:r>
      <w:r>
        <w:rPr>
          <w:b w:val="0"/>
          <w:szCs w:val="26"/>
          <w:lang w:eastAsia="ru-RU"/>
        </w:rPr>
        <w:t xml:space="preserve"> муниципальным </w:t>
      </w:r>
      <w:r w:rsidRPr="00F06EF4">
        <w:rPr>
          <w:b w:val="0"/>
          <w:szCs w:val="26"/>
          <w:lang w:eastAsia="ru-RU"/>
        </w:rPr>
        <w:t>маршрутам регулярных перевозок и выражается в совокупности характеристик надежности, доступности и комфортности.</w:t>
      </w:r>
    </w:p>
    <w:p w14:paraId="4EDB4CDD" w14:textId="77777777" w:rsidR="002975E0" w:rsidRDefault="002975E0" w:rsidP="002975E0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540"/>
        <w:jc w:val="both"/>
        <w:rPr>
          <w:b w:val="0"/>
          <w:szCs w:val="26"/>
          <w:lang w:eastAsia="ru-RU"/>
        </w:rPr>
      </w:pPr>
      <w:r w:rsidRPr="00C25007">
        <w:rPr>
          <w:b w:val="0"/>
          <w:szCs w:val="26"/>
          <w:lang w:eastAsia="ru-RU"/>
        </w:rPr>
        <w:t xml:space="preserve">Показатели качества транспортного обслуживания населения и их нормативные значения, установленные настоящим Стандартом, могут применяться </w:t>
      </w:r>
      <w:r>
        <w:rPr>
          <w:b w:val="0"/>
          <w:szCs w:val="26"/>
          <w:lang w:eastAsia="ru-RU"/>
        </w:rPr>
        <w:t>администрацией города Обнинска</w:t>
      </w:r>
      <w:r w:rsidRPr="00C25007">
        <w:rPr>
          <w:b w:val="0"/>
          <w:szCs w:val="26"/>
          <w:lang w:eastAsia="ru-RU"/>
        </w:rPr>
        <w:t xml:space="preserve"> при разработке нормативных правовых актов в сфере транспортного и градостроительного планирования, в том числе подготовке документа планирования регулярных перевозок пассажиров и б</w:t>
      </w:r>
      <w:r>
        <w:rPr>
          <w:b w:val="0"/>
          <w:szCs w:val="26"/>
          <w:lang w:eastAsia="ru-RU"/>
        </w:rPr>
        <w:t>агажа автомобильным транспортом</w:t>
      </w:r>
      <w:r w:rsidRPr="00C25007">
        <w:rPr>
          <w:b w:val="0"/>
          <w:szCs w:val="26"/>
          <w:lang w:eastAsia="ru-RU"/>
        </w:rPr>
        <w:t>, заключении и исполнении муниципальных</w:t>
      </w:r>
      <w:r>
        <w:rPr>
          <w:b w:val="0"/>
          <w:szCs w:val="26"/>
          <w:lang w:eastAsia="ru-RU"/>
        </w:rPr>
        <w:t xml:space="preserve"> контрактов между муниципальным</w:t>
      </w:r>
      <w:r w:rsidRPr="00C25007">
        <w:rPr>
          <w:b w:val="0"/>
          <w:szCs w:val="26"/>
          <w:lang w:eastAsia="ru-RU"/>
        </w:rPr>
        <w:t xml:space="preserve"> заказчик</w:t>
      </w:r>
      <w:r>
        <w:rPr>
          <w:b w:val="0"/>
          <w:szCs w:val="26"/>
          <w:lang w:eastAsia="ru-RU"/>
        </w:rPr>
        <w:t>ом</w:t>
      </w:r>
      <w:r w:rsidRPr="00C25007">
        <w:rPr>
          <w:b w:val="0"/>
          <w:szCs w:val="26"/>
          <w:lang w:eastAsia="ru-RU"/>
        </w:rPr>
        <w:t>, юридическими лицами и индивидуальными предпринимателями, выполняющими работы, связанные с осуществлением регулярных перевозок пассажиров и</w:t>
      </w:r>
      <w:r>
        <w:rPr>
          <w:b w:val="0"/>
          <w:szCs w:val="26"/>
          <w:lang w:eastAsia="ru-RU"/>
        </w:rPr>
        <w:t xml:space="preserve"> багажа по регулируемым тарифам.</w:t>
      </w:r>
    </w:p>
    <w:p w14:paraId="4E20A356" w14:textId="77777777" w:rsidR="002975E0" w:rsidRDefault="002975E0" w:rsidP="002975E0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Показатели качества.</w:t>
      </w:r>
    </w:p>
    <w:p w14:paraId="5526E70B" w14:textId="77777777" w:rsidR="002975E0" w:rsidRDefault="002975E0" w:rsidP="002975E0">
      <w:pPr>
        <w:numPr>
          <w:ilvl w:val="1"/>
          <w:numId w:val="1"/>
        </w:numPr>
        <w:suppressAutoHyphens w:val="0"/>
        <w:autoSpaceDE w:val="0"/>
        <w:autoSpaceDN w:val="0"/>
        <w:adjustRightInd w:val="0"/>
        <w:ind w:left="0" w:firstLine="567"/>
        <w:jc w:val="both"/>
        <w:rPr>
          <w:b w:val="0"/>
          <w:szCs w:val="26"/>
          <w:lang w:eastAsia="ru-RU"/>
        </w:rPr>
      </w:pPr>
      <w:r w:rsidRPr="0072440D">
        <w:rPr>
          <w:b w:val="0"/>
          <w:szCs w:val="26"/>
          <w:lang w:eastAsia="ru-RU"/>
        </w:rPr>
        <w:t xml:space="preserve">Доступность - под доступностью понимается характеристика качества транспортного обслуживания населения, выраженная в наличии возможности получения населением услуг по перевозке пассажиров и багажа автомобильным транспортом по муниципальным маршрутам регулярных перевозок в </w:t>
      </w:r>
      <w:r w:rsidRPr="006A4655">
        <w:rPr>
          <w:b w:val="0"/>
          <w:szCs w:val="26"/>
          <w:lang w:eastAsia="ru-RU"/>
        </w:rPr>
        <w:t>городско</w:t>
      </w:r>
      <w:r>
        <w:rPr>
          <w:b w:val="0"/>
          <w:szCs w:val="26"/>
          <w:lang w:eastAsia="ru-RU"/>
        </w:rPr>
        <w:t>м</w:t>
      </w:r>
      <w:r w:rsidRPr="006A4655">
        <w:rPr>
          <w:b w:val="0"/>
          <w:szCs w:val="26"/>
          <w:lang w:eastAsia="ru-RU"/>
        </w:rPr>
        <w:t xml:space="preserve"> округ</w:t>
      </w:r>
      <w:r>
        <w:rPr>
          <w:b w:val="0"/>
          <w:szCs w:val="26"/>
          <w:lang w:eastAsia="ru-RU"/>
        </w:rPr>
        <w:t>е</w:t>
      </w:r>
      <w:r w:rsidRPr="006A4655">
        <w:rPr>
          <w:b w:val="0"/>
          <w:szCs w:val="26"/>
          <w:lang w:eastAsia="ru-RU"/>
        </w:rPr>
        <w:t xml:space="preserve"> город</w:t>
      </w:r>
      <w:r>
        <w:rPr>
          <w:b w:val="0"/>
          <w:szCs w:val="26"/>
          <w:lang w:eastAsia="ru-RU"/>
        </w:rPr>
        <w:t>а</w:t>
      </w:r>
      <w:r w:rsidRPr="006A4655">
        <w:rPr>
          <w:b w:val="0"/>
          <w:szCs w:val="26"/>
          <w:lang w:eastAsia="ru-RU"/>
        </w:rPr>
        <w:t xml:space="preserve"> Обнинск</w:t>
      </w:r>
      <w:r>
        <w:rPr>
          <w:b w:val="0"/>
          <w:szCs w:val="26"/>
          <w:lang w:eastAsia="ru-RU"/>
        </w:rPr>
        <w:t>а</w:t>
      </w:r>
      <w:r w:rsidRPr="006A4655">
        <w:rPr>
          <w:b w:val="0"/>
          <w:szCs w:val="26"/>
          <w:lang w:eastAsia="ru-RU"/>
        </w:rPr>
        <w:t xml:space="preserve"> Калужской области</w:t>
      </w:r>
      <w:r w:rsidRPr="0072440D">
        <w:rPr>
          <w:b w:val="0"/>
          <w:szCs w:val="26"/>
          <w:lang w:eastAsia="ru-RU"/>
        </w:rPr>
        <w:t>.</w:t>
      </w:r>
    </w:p>
    <w:p w14:paraId="507A71CE" w14:textId="77777777" w:rsidR="002975E0" w:rsidRDefault="002975E0" w:rsidP="002975E0">
      <w:pPr>
        <w:numPr>
          <w:ilvl w:val="2"/>
          <w:numId w:val="1"/>
        </w:numPr>
        <w:suppressAutoHyphens w:val="0"/>
        <w:autoSpaceDE w:val="0"/>
        <w:autoSpaceDN w:val="0"/>
        <w:adjustRightInd w:val="0"/>
        <w:jc w:val="both"/>
        <w:rPr>
          <w:b w:val="0"/>
          <w:szCs w:val="26"/>
          <w:lang w:eastAsia="ru-RU"/>
        </w:rPr>
      </w:pPr>
      <w:r w:rsidRPr="0072440D">
        <w:rPr>
          <w:b w:val="0"/>
          <w:szCs w:val="26"/>
          <w:lang w:eastAsia="ru-RU"/>
        </w:rPr>
        <w:t>Территориальная доступность остановочных пунктов.</w:t>
      </w:r>
    </w:p>
    <w:p w14:paraId="046CB964" w14:textId="77777777" w:rsidR="002975E0" w:rsidRDefault="002975E0" w:rsidP="002975E0">
      <w:pPr>
        <w:suppressAutoHyphens w:val="0"/>
        <w:autoSpaceDE w:val="0"/>
        <w:autoSpaceDN w:val="0"/>
        <w:adjustRightInd w:val="0"/>
        <w:ind w:firstLine="567"/>
        <w:jc w:val="both"/>
        <w:rPr>
          <w:b w:val="0"/>
          <w:szCs w:val="26"/>
          <w:lang w:eastAsia="ru-RU"/>
        </w:rPr>
      </w:pPr>
      <w:r w:rsidRPr="0072440D">
        <w:rPr>
          <w:b w:val="0"/>
          <w:szCs w:val="26"/>
          <w:lang w:eastAsia="ru-RU"/>
        </w:rPr>
        <w:t>Рекомендуется не превышать значение расстояния кратчайшего пешеходного пути следования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</w:t>
      </w:r>
      <w:r>
        <w:rPr>
          <w:b w:val="0"/>
          <w:szCs w:val="26"/>
          <w:lang w:eastAsia="ru-RU"/>
        </w:rPr>
        <w:t>.</w:t>
      </w:r>
    </w:p>
    <w:p w14:paraId="5A10E4BA" w14:textId="77777777" w:rsidR="002975E0" w:rsidRDefault="002975E0" w:rsidP="002975E0">
      <w:pPr>
        <w:numPr>
          <w:ilvl w:val="2"/>
          <w:numId w:val="1"/>
        </w:numPr>
        <w:suppressAutoHyphens w:val="0"/>
        <w:autoSpaceDE w:val="0"/>
        <w:autoSpaceDN w:val="0"/>
        <w:adjustRightInd w:val="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Доступность остановочных пунктов для маломобильных групп населения.</w:t>
      </w:r>
    </w:p>
    <w:p w14:paraId="5523A4A3" w14:textId="77777777" w:rsidR="002975E0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 w:rsidRPr="0072440D">
        <w:rPr>
          <w:b w:val="0"/>
          <w:szCs w:val="26"/>
          <w:lang w:eastAsia="ru-RU"/>
        </w:rPr>
        <w:t xml:space="preserve">Маломобильные группы населения - это инвалиды, люди с временным нарушением здоровья, беременные женщины, люди преклонного возраста, люди с детскими колясками, иные категории населения, испытывающие затруднения при пользовании услугами по перевозке пассажиров и багажа автомобильным транспортом по муниципальным маршрутам регулярных перевозок в </w:t>
      </w:r>
      <w:r w:rsidRPr="006A4655">
        <w:rPr>
          <w:b w:val="0"/>
          <w:szCs w:val="26"/>
          <w:lang w:eastAsia="ru-RU"/>
        </w:rPr>
        <w:t>городско</w:t>
      </w:r>
      <w:r>
        <w:rPr>
          <w:b w:val="0"/>
          <w:szCs w:val="26"/>
          <w:lang w:eastAsia="ru-RU"/>
        </w:rPr>
        <w:t>м</w:t>
      </w:r>
      <w:r w:rsidRPr="006A4655">
        <w:rPr>
          <w:b w:val="0"/>
          <w:szCs w:val="26"/>
          <w:lang w:eastAsia="ru-RU"/>
        </w:rPr>
        <w:t xml:space="preserve"> округ</w:t>
      </w:r>
      <w:r>
        <w:rPr>
          <w:b w:val="0"/>
          <w:szCs w:val="26"/>
          <w:lang w:eastAsia="ru-RU"/>
        </w:rPr>
        <w:t>е</w:t>
      </w:r>
      <w:r w:rsidRPr="006A4655">
        <w:rPr>
          <w:b w:val="0"/>
          <w:szCs w:val="26"/>
          <w:lang w:eastAsia="ru-RU"/>
        </w:rPr>
        <w:t xml:space="preserve"> город</w:t>
      </w:r>
      <w:r>
        <w:rPr>
          <w:b w:val="0"/>
          <w:szCs w:val="26"/>
          <w:lang w:eastAsia="ru-RU"/>
        </w:rPr>
        <w:t>е</w:t>
      </w:r>
      <w:r w:rsidRPr="006A4655">
        <w:rPr>
          <w:b w:val="0"/>
          <w:szCs w:val="26"/>
          <w:lang w:eastAsia="ru-RU"/>
        </w:rPr>
        <w:t xml:space="preserve"> Обнинск</w:t>
      </w:r>
      <w:r>
        <w:rPr>
          <w:b w:val="0"/>
          <w:szCs w:val="26"/>
          <w:lang w:eastAsia="ru-RU"/>
        </w:rPr>
        <w:t>е</w:t>
      </w:r>
      <w:r w:rsidRPr="006A4655">
        <w:rPr>
          <w:b w:val="0"/>
          <w:szCs w:val="26"/>
          <w:lang w:eastAsia="ru-RU"/>
        </w:rPr>
        <w:t xml:space="preserve"> Калужской области</w:t>
      </w:r>
      <w:r w:rsidRPr="0072440D">
        <w:rPr>
          <w:b w:val="0"/>
          <w:szCs w:val="26"/>
          <w:lang w:eastAsia="ru-RU"/>
        </w:rPr>
        <w:t>.</w:t>
      </w:r>
    </w:p>
    <w:p w14:paraId="536FDEB9" w14:textId="77777777" w:rsidR="002975E0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 w:rsidRPr="00893FC6">
        <w:rPr>
          <w:b w:val="0"/>
          <w:szCs w:val="26"/>
          <w:lang w:eastAsia="ru-RU"/>
        </w:rPr>
        <w:lastRenderedPageBreak/>
        <w:t>Рекомендуется, чтобы остановочные пункты, которые обслуживаются муниципальными маршрутами регулярных перевозок, отвечали требованиям, установленным подпунктами 7.3.1 - 7.3.16 ОДМ 218.2.007-2011 «Методические рекомендации по проектированию мероприятий по обеспечению доступа инвалидов к объектам дорожного хозяйства», изданного на основании распоряжения Росавтодора от 05.06.2013 № 758-р.</w:t>
      </w:r>
    </w:p>
    <w:p w14:paraId="05C0536D" w14:textId="77777777" w:rsidR="002975E0" w:rsidRPr="009E0647" w:rsidRDefault="002975E0" w:rsidP="002975E0">
      <w:pPr>
        <w:numPr>
          <w:ilvl w:val="2"/>
          <w:numId w:val="1"/>
        </w:numPr>
        <w:suppressAutoHyphens w:val="0"/>
        <w:autoSpaceDE w:val="0"/>
        <w:autoSpaceDN w:val="0"/>
        <w:adjustRightInd w:val="0"/>
        <w:jc w:val="both"/>
        <w:rPr>
          <w:b w:val="0"/>
          <w:szCs w:val="26"/>
          <w:lang w:eastAsia="ru-RU"/>
        </w:rPr>
      </w:pPr>
      <w:r w:rsidRPr="009E0647">
        <w:rPr>
          <w:b w:val="0"/>
          <w:szCs w:val="26"/>
          <w:lang w:eastAsia="ru-RU"/>
        </w:rPr>
        <w:t>Доступность транспортных средств для маломобильных групп населения.</w:t>
      </w:r>
    </w:p>
    <w:p w14:paraId="3E4D2582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В</w:t>
      </w:r>
      <w:r w:rsidRPr="009E0647">
        <w:rPr>
          <w:b w:val="0"/>
          <w:szCs w:val="26"/>
          <w:lang w:eastAsia="ru-RU"/>
        </w:rPr>
        <w:t xml:space="preserve"> транспортных средствах, используемых для осуществления перевозок пассажиров и багажа автомобильным транспортом по муниципальным маршрутам регулярных перевозок, перевозчику рекомендуется обеспечивать посадку и высадку, в том числе с использованием специальных подъемных устройств для пассажиров из числа инвалидов, </w:t>
      </w:r>
      <w:r w:rsidRPr="006645E0">
        <w:rPr>
          <w:b w:val="0"/>
          <w:szCs w:val="26"/>
          <w:lang w:eastAsia="ru-RU"/>
        </w:rPr>
        <w:t xml:space="preserve">неспособных передвигаться самостоятельно, в соответствии </w:t>
      </w:r>
      <w:r>
        <w:rPr>
          <w:b w:val="0"/>
          <w:szCs w:val="26"/>
          <w:lang w:eastAsia="ru-RU"/>
        </w:rPr>
        <w:t xml:space="preserve">                      </w:t>
      </w:r>
      <w:r w:rsidRPr="006645E0">
        <w:rPr>
          <w:b w:val="0"/>
          <w:szCs w:val="26"/>
          <w:lang w:eastAsia="ru-RU"/>
        </w:rPr>
        <w:t xml:space="preserve">с </w:t>
      </w:r>
      <w:hyperlink r:id="rId5" w:history="1">
        <w:r w:rsidRPr="006645E0">
          <w:rPr>
            <w:rStyle w:val="ac"/>
            <w:b w:val="0"/>
            <w:szCs w:val="26"/>
            <w:u w:val="none"/>
            <w:lang w:val="ru-RU" w:eastAsia="ru-RU" w:bidi="ar-SA"/>
          </w:rPr>
          <w:t>Порядком</w:t>
        </w:r>
      </w:hyperlink>
      <w:r w:rsidRPr="006645E0">
        <w:rPr>
          <w:b w:val="0"/>
          <w:szCs w:val="26"/>
          <w:lang w:eastAsia="ru-RU"/>
        </w:rPr>
        <w:t xml:space="preserve">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</w:t>
      </w:r>
      <w:r w:rsidRPr="009E0647">
        <w:rPr>
          <w:b w:val="0"/>
          <w:szCs w:val="26"/>
          <w:lang w:eastAsia="ru-RU"/>
        </w:rPr>
        <w:t xml:space="preserve">, утвержденным приказом Минтранса России от </w:t>
      </w:r>
      <w:r w:rsidRPr="006645E0">
        <w:rPr>
          <w:b w:val="0"/>
          <w:szCs w:val="26"/>
          <w:lang w:eastAsia="ru-RU"/>
        </w:rPr>
        <w:t xml:space="preserve">20.09.2021 </w:t>
      </w:r>
      <w:r>
        <w:rPr>
          <w:b w:val="0"/>
          <w:szCs w:val="26"/>
          <w:lang w:eastAsia="ru-RU"/>
        </w:rPr>
        <w:t xml:space="preserve">                    №</w:t>
      </w:r>
      <w:r w:rsidRPr="006645E0">
        <w:rPr>
          <w:b w:val="0"/>
          <w:szCs w:val="26"/>
          <w:lang w:eastAsia="ru-RU"/>
        </w:rPr>
        <w:t xml:space="preserve"> 321</w:t>
      </w:r>
      <w:r w:rsidRPr="009E0647">
        <w:rPr>
          <w:b w:val="0"/>
          <w:szCs w:val="26"/>
          <w:lang w:eastAsia="ru-RU"/>
        </w:rPr>
        <w:t>.</w:t>
      </w:r>
    </w:p>
    <w:p w14:paraId="30A4CCCF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3.2</w:t>
      </w:r>
      <w:r w:rsidRPr="009E0647">
        <w:rPr>
          <w:b w:val="0"/>
          <w:szCs w:val="26"/>
          <w:lang w:eastAsia="ru-RU"/>
        </w:rPr>
        <w:t>. Оснащенность остановочных пунктов.</w:t>
      </w:r>
    </w:p>
    <w:p w14:paraId="3D520035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О</w:t>
      </w:r>
      <w:r w:rsidRPr="009E0647">
        <w:rPr>
          <w:b w:val="0"/>
          <w:szCs w:val="26"/>
          <w:lang w:eastAsia="ru-RU"/>
        </w:rPr>
        <w:t xml:space="preserve">становочные пункты рекомендуется оснащать средствами зрительного информирования пассажиров с актуальной информацией и прочими элементами обустройства в соответствии с требованиями, </w:t>
      </w:r>
      <w:r w:rsidRPr="00893FC6">
        <w:rPr>
          <w:b w:val="0"/>
          <w:szCs w:val="26"/>
          <w:lang w:eastAsia="ru-RU"/>
        </w:rPr>
        <w:t xml:space="preserve">установленными </w:t>
      </w:r>
      <w:hyperlink r:id="rId6" w:history="1">
        <w:r w:rsidRPr="00893FC6">
          <w:rPr>
            <w:rStyle w:val="ac"/>
            <w:b w:val="0"/>
            <w:color w:val="auto"/>
            <w:szCs w:val="26"/>
            <w:u w:val="none"/>
            <w:lang w:val="ru-RU" w:eastAsia="ru-RU" w:bidi="ar-SA"/>
          </w:rPr>
          <w:t>пунктом 11</w:t>
        </w:r>
      </w:hyperlink>
      <w:r w:rsidRPr="009E0647">
        <w:rPr>
          <w:b w:val="0"/>
          <w:szCs w:val="26"/>
          <w:lang w:eastAsia="ru-RU"/>
        </w:rPr>
        <w:t xml:space="preserve"> Правил перевозок пассажиров и багажа автомобильным транспортом и городским наземным электрическим транспортом, </w:t>
      </w:r>
      <w:r w:rsidRPr="00893FC6">
        <w:rPr>
          <w:b w:val="0"/>
          <w:szCs w:val="26"/>
          <w:lang w:eastAsia="ru-RU"/>
        </w:rPr>
        <w:t xml:space="preserve">утвержденных </w:t>
      </w:r>
      <w:hyperlink r:id="rId7" w:history="1">
        <w:r w:rsidRPr="00893FC6">
          <w:rPr>
            <w:rStyle w:val="ac"/>
            <w:b w:val="0"/>
            <w:color w:val="auto"/>
            <w:szCs w:val="26"/>
            <w:u w:val="none"/>
            <w:lang w:val="ru-RU" w:eastAsia="ru-RU" w:bidi="ar-SA"/>
          </w:rPr>
          <w:t>постановлением</w:t>
        </w:r>
      </w:hyperlink>
      <w:r w:rsidRPr="009E0647">
        <w:rPr>
          <w:b w:val="0"/>
          <w:szCs w:val="26"/>
          <w:lang w:eastAsia="ru-RU"/>
        </w:rPr>
        <w:t xml:space="preserve"> Правительства Российской Федерации от </w:t>
      </w:r>
      <w:r>
        <w:rPr>
          <w:b w:val="0"/>
          <w:szCs w:val="26"/>
          <w:lang w:eastAsia="ru-RU"/>
        </w:rPr>
        <w:t>0</w:t>
      </w:r>
      <w:r w:rsidRPr="009E0647">
        <w:rPr>
          <w:b w:val="0"/>
          <w:szCs w:val="26"/>
          <w:lang w:eastAsia="ru-RU"/>
        </w:rPr>
        <w:t>1</w:t>
      </w:r>
      <w:r>
        <w:rPr>
          <w:b w:val="0"/>
          <w:szCs w:val="26"/>
          <w:lang w:eastAsia="ru-RU"/>
        </w:rPr>
        <w:t>.10.</w:t>
      </w:r>
      <w:r w:rsidRPr="009E0647">
        <w:rPr>
          <w:b w:val="0"/>
          <w:szCs w:val="26"/>
          <w:lang w:eastAsia="ru-RU"/>
        </w:rPr>
        <w:t xml:space="preserve">2020 № 1586 (далее - Правила). </w:t>
      </w:r>
    </w:p>
    <w:p w14:paraId="0DDED762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 w:rsidRPr="009E0647">
        <w:rPr>
          <w:b w:val="0"/>
          <w:szCs w:val="26"/>
          <w:lang w:eastAsia="ru-RU"/>
        </w:rPr>
        <w:t>Под средствами зрительного информирования пассажиров понимаются справочно-информационные стенды и табло, размещенные на объектах транспортной инфраструктуры, а также в транспортных средствах, используемых для осуществления перевозок пассажиров и багажа автомобильным транспортом по маршрутам регулярных перевозок, содержащие информацию о маршрутах регулярных перевозок и их расписании.</w:t>
      </w:r>
    </w:p>
    <w:p w14:paraId="38F9942F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3.3.</w:t>
      </w:r>
      <w:r w:rsidRPr="009E0647">
        <w:rPr>
          <w:b w:val="0"/>
          <w:szCs w:val="26"/>
          <w:lang w:eastAsia="ru-RU"/>
        </w:rPr>
        <w:t xml:space="preserve"> Надежность.</w:t>
      </w:r>
    </w:p>
    <w:p w14:paraId="59B690C9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 w:rsidRPr="009E0647">
        <w:rPr>
          <w:b w:val="0"/>
          <w:szCs w:val="26"/>
          <w:lang w:eastAsia="ru-RU"/>
        </w:rPr>
        <w:t xml:space="preserve">Надежность представляет собой характеристику качества транспортного обслуживания населения, выраженную в стабильности получения услуг по перевозке пассажиров и багажа автомобильным транспортом по муниципальным маршрутам регулярных перевозок в </w:t>
      </w:r>
      <w:r w:rsidRPr="006A4655">
        <w:rPr>
          <w:b w:val="0"/>
          <w:szCs w:val="26"/>
          <w:lang w:eastAsia="ru-RU"/>
        </w:rPr>
        <w:t>городско</w:t>
      </w:r>
      <w:r>
        <w:rPr>
          <w:b w:val="0"/>
          <w:szCs w:val="26"/>
          <w:lang w:eastAsia="ru-RU"/>
        </w:rPr>
        <w:t>м</w:t>
      </w:r>
      <w:r w:rsidRPr="006A4655">
        <w:rPr>
          <w:b w:val="0"/>
          <w:szCs w:val="26"/>
          <w:lang w:eastAsia="ru-RU"/>
        </w:rPr>
        <w:t xml:space="preserve"> округ</w:t>
      </w:r>
      <w:r>
        <w:rPr>
          <w:b w:val="0"/>
          <w:szCs w:val="26"/>
          <w:lang w:eastAsia="ru-RU"/>
        </w:rPr>
        <w:t>е</w:t>
      </w:r>
      <w:r w:rsidRPr="006A4655">
        <w:rPr>
          <w:b w:val="0"/>
          <w:szCs w:val="26"/>
          <w:lang w:eastAsia="ru-RU"/>
        </w:rPr>
        <w:t xml:space="preserve"> город</w:t>
      </w:r>
      <w:r>
        <w:rPr>
          <w:b w:val="0"/>
          <w:szCs w:val="26"/>
          <w:lang w:eastAsia="ru-RU"/>
        </w:rPr>
        <w:t>е</w:t>
      </w:r>
      <w:r w:rsidRPr="006A4655">
        <w:rPr>
          <w:b w:val="0"/>
          <w:szCs w:val="26"/>
          <w:lang w:eastAsia="ru-RU"/>
        </w:rPr>
        <w:t xml:space="preserve"> Обнинск</w:t>
      </w:r>
      <w:r>
        <w:rPr>
          <w:b w:val="0"/>
          <w:szCs w:val="26"/>
          <w:lang w:eastAsia="ru-RU"/>
        </w:rPr>
        <w:t>е</w:t>
      </w:r>
      <w:r w:rsidRPr="006A4655">
        <w:rPr>
          <w:b w:val="0"/>
          <w:szCs w:val="26"/>
          <w:lang w:eastAsia="ru-RU"/>
        </w:rPr>
        <w:t xml:space="preserve"> Калужской области</w:t>
      </w:r>
      <w:r w:rsidRPr="009E0647">
        <w:rPr>
          <w:b w:val="0"/>
          <w:szCs w:val="26"/>
          <w:lang w:eastAsia="ru-RU"/>
        </w:rPr>
        <w:t xml:space="preserve"> и предсказуемости уровня их качества.</w:t>
      </w:r>
    </w:p>
    <w:p w14:paraId="4BDD5452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3.4</w:t>
      </w:r>
      <w:r w:rsidRPr="009E0647">
        <w:rPr>
          <w:b w:val="0"/>
          <w:szCs w:val="26"/>
          <w:lang w:eastAsia="ru-RU"/>
        </w:rPr>
        <w:t>. Комфортность.</w:t>
      </w:r>
    </w:p>
    <w:p w14:paraId="04F8BDD0" w14:textId="77777777" w:rsidR="002975E0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 w:rsidRPr="009E0647">
        <w:rPr>
          <w:b w:val="0"/>
          <w:szCs w:val="26"/>
          <w:lang w:eastAsia="ru-RU"/>
        </w:rPr>
        <w:t xml:space="preserve">Под комфортностью понимается характеристика качества транспортного обслуживания населения, выраженная в уровне удобства пользования услугами по перевозке пассажиров и багажа автомобильным транспортом по муниципальным маршрутам регулярных перевозок в </w:t>
      </w:r>
      <w:r w:rsidRPr="00893FC6">
        <w:rPr>
          <w:b w:val="0"/>
          <w:szCs w:val="26"/>
          <w:lang w:eastAsia="ru-RU"/>
        </w:rPr>
        <w:t>городском округе города Обнинска Калужской области</w:t>
      </w:r>
      <w:r w:rsidRPr="009E0647">
        <w:rPr>
          <w:b w:val="0"/>
          <w:szCs w:val="26"/>
          <w:lang w:eastAsia="ru-RU"/>
        </w:rPr>
        <w:t>, в том числе отсутствии физиологического и психологического дискомфорта для пассажиров в процессе потребления услуги.</w:t>
      </w:r>
    </w:p>
    <w:p w14:paraId="559676E1" w14:textId="77777777" w:rsidR="002975E0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 xml:space="preserve">3.4.1. Рекомендуется обеспечить оснащение транспортных средств, используемых для осуществления перевозок пассажиров и багажа автомобильным транспортом по маршрутам регулярных перевозок, средствами информирования </w:t>
      </w:r>
      <w:r>
        <w:rPr>
          <w:b w:val="0"/>
          <w:szCs w:val="26"/>
          <w:lang w:eastAsia="ru-RU"/>
        </w:rPr>
        <w:lastRenderedPageBreak/>
        <w:t xml:space="preserve">пассажиров в соответствии с </w:t>
      </w:r>
      <w:hyperlink r:id="rId8" w:history="1">
        <w:r>
          <w:rPr>
            <w:b w:val="0"/>
            <w:color w:val="0000FF"/>
            <w:szCs w:val="26"/>
            <w:lang w:eastAsia="ru-RU"/>
          </w:rPr>
          <w:t>пунктами 18</w:t>
        </w:r>
      </w:hyperlink>
      <w:r>
        <w:rPr>
          <w:b w:val="0"/>
          <w:szCs w:val="26"/>
          <w:lang w:eastAsia="ru-RU"/>
        </w:rPr>
        <w:t xml:space="preserve"> - </w:t>
      </w:r>
      <w:hyperlink r:id="rId9" w:history="1">
        <w:r>
          <w:rPr>
            <w:b w:val="0"/>
            <w:color w:val="0000FF"/>
            <w:szCs w:val="26"/>
            <w:lang w:eastAsia="ru-RU"/>
          </w:rPr>
          <w:t>22</w:t>
        </w:r>
      </w:hyperlink>
      <w:r>
        <w:rPr>
          <w:b w:val="0"/>
          <w:szCs w:val="26"/>
          <w:lang w:eastAsia="ru-RU"/>
        </w:rPr>
        <w:t xml:space="preserve"> и </w:t>
      </w:r>
      <w:hyperlink r:id="rId10" w:history="1">
        <w:r>
          <w:rPr>
            <w:b w:val="0"/>
            <w:color w:val="0000FF"/>
            <w:szCs w:val="26"/>
            <w:lang w:eastAsia="ru-RU"/>
          </w:rPr>
          <w:t>подпунктами «а</w:t>
        </w:r>
      </w:hyperlink>
      <w:r>
        <w:rPr>
          <w:b w:val="0"/>
          <w:szCs w:val="26"/>
          <w:lang w:eastAsia="ru-RU"/>
        </w:rPr>
        <w:t xml:space="preserve">», </w:t>
      </w:r>
      <w:hyperlink r:id="rId11" w:history="1">
        <w:r>
          <w:rPr>
            <w:b w:val="0"/>
            <w:szCs w:val="26"/>
            <w:lang w:eastAsia="ru-RU"/>
          </w:rPr>
          <w:t>«</w:t>
        </w:r>
        <w:r>
          <w:rPr>
            <w:b w:val="0"/>
            <w:color w:val="0000FF"/>
            <w:szCs w:val="26"/>
            <w:lang w:eastAsia="ru-RU"/>
          </w:rPr>
          <w:t>в» пункта 24</w:t>
        </w:r>
      </w:hyperlink>
      <w:r>
        <w:rPr>
          <w:b w:val="0"/>
          <w:szCs w:val="26"/>
          <w:lang w:eastAsia="ru-RU"/>
        </w:rPr>
        <w:t xml:space="preserve"> Правил.</w:t>
      </w:r>
    </w:p>
    <w:p w14:paraId="085B76ED" w14:textId="77777777" w:rsidR="002975E0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3.4.2. Оснащенность транспортных средств системой безналичной оплаты проезда.</w:t>
      </w:r>
    </w:p>
    <w:p w14:paraId="37EE05C4" w14:textId="77777777" w:rsidR="002975E0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Рекомендуется обеспечить оснащение транспортных средств, используемых для осуществления перевозок пассажиров и багажа автомобильным транспортом и городским наземным электрическим транспортом по маршрутам регулярных перевозок, системой безналичной оплаты проезда.</w:t>
      </w:r>
    </w:p>
    <w:p w14:paraId="415FF55D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Рекомендуемый перечень возможностей, предоставляемых пассажирам посредством системы безналичной оплаты проезда:</w:t>
      </w:r>
    </w:p>
    <w:p w14:paraId="1954BD5D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 w:rsidRPr="009E0647">
        <w:rPr>
          <w:b w:val="0"/>
          <w:szCs w:val="26"/>
          <w:lang w:eastAsia="ru-RU"/>
        </w:rPr>
        <w:t xml:space="preserve">а) использование билетов, подтверждающих заключение договора перевозки между перевозчиком и пассажиром, оформленных в электронном виде и приобретенных посредством электронного инструмента оплаты, включая банковские бесконтактные карты и электронные (транспортные) карты, в том числе выпущенные в смартфонах (далее </w:t>
      </w:r>
      <w:r>
        <w:rPr>
          <w:b w:val="0"/>
          <w:szCs w:val="26"/>
          <w:lang w:eastAsia="ru-RU"/>
        </w:rPr>
        <w:t>–</w:t>
      </w:r>
      <w:r w:rsidRPr="009E0647">
        <w:rPr>
          <w:b w:val="0"/>
          <w:szCs w:val="26"/>
          <w:lang w:eastAsia="ru-RU"/>
        </w:rPr>
        <w:t xml:space="preserve"> </w:t>
      </w:r>
      <w:r>
        <w:rPr>
          <w:b w:val="0"/>
          <w:szCs w:val="26"/>
          <w:lang w:eastAsia="ru-RU"/>
        </w:rPr>
        <w:t>«</w:t>
      </w:r>
      <w:r w:rsidRPr="009E0647">
        <w:rPr>
          <w:b w:val="0"/>
          <w:szCs w:val="26"/>
          <w:lang w:eastAsia="ru-RU"/>
        </w:rPr>
        <w:t>единый билет</w:t>
      </w:r>
      <w:r>
        <w:rPr>
          <w:b w:val="0"/>
          <w:szCs w:val="26"/>
          <w:lang w:eastAsia="ru-RU"/>
        </w:rPr>
        <w:t>»</w:t>
      </w:r>
      <w:r w:rsidRPr="009E0647">
        <w:rPr>
          <w:b w:val="0"/>
          <w:szCs w:val="26"/>
          <w:lang w:eastAsia="ru-RU"/>
        </w:rPr>
        <w:t>) с различными способами идентификации и аутентификации (NFC, QR-коды, Face ID).</w:t>
      </w:r>
    </w:p>
    <w:p w14:paraId="62F164B0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 w:rsidRPr="009E0647">
        <w:rPr>
          <w:b w:val="0"/>
          <w:szCs w:val="26"/>
          <w:lang w:eastAsia="ru-RU"/>
        </w:rPr>
        <w:t>б) совершение комбинированной и мультимодальной поездки;</w:t>
      </w:r>
    </w:p>
    <w:p w14:paraId="61B08DDA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 w:rsidRPr="009E0647">
        <w:rPr>
          <w:b w:val="0"/>
          <w:szCs w:val="26"/>
          <w:lang w:eastAsia="ru-RU"/>
        </w:rPr>
        <w:t>в) оплата (регистрация) проезда с применением льготных тарифов для категорий граждан, имеющих право на льготный проезд по маршрутам регулярных перевозок автомобильным транспортом в соответствии с федеральным законодательством, а также с учетом региональных и местных льгот, действующих в пределах границ определенной территории (субъекта Российской Федерации или отдельного муниципального образования), в том числе в течение ограниченного периода времени (например, в течение конкретного нерабочего праздничного дня);</w:t>
      </w:r>
    </w:p>
    <w:p w14:paraId="4D3EBCD6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 w:rsidRPr="009E0647">
        <w:rPr>
          <w:b w:val="0"/>
          <w:szCs w:val="26"/>
          <w:lang w:eastAsia="ru-RU"/>
        </w:rPr>
        <w:t>г) получение информации в электронной форме о совершенных пассажирами поездках, включая дату, время, стоимость проезда;</w:t>
      </w:r>
    </w:p>
    <w:p w14:paraId="7ADF3302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 w:rsidRPr="009E0647">
        <w:rPr>
          <w:b w:val="0"/>
          <w:szCs w:val="26"/>
          <w:lang w:eastAsia="ru-RU"/>
        </w:rPr>
        <w:t xml:space="preserve">д) приобретение </w:t>
      </w:r>
      <w:r>
        <w:rPr>
          <w:b w:val="0"/>
          <w:szCs w:val="26"/>
          <w:lang w:eastAsia="ru-RU"/>
        </w:rPr>
        <w:t>«</w:t>
      </w:r>
      <w:r w:rsidRPr="009E0647">
        <w:rPr>
          <w:b w:val="0"/>
          <w:szCs w:val="26"/>
          <w:lang w:eastAsia="ru-RU"/>
        </w:rPr>
        <w:t>единого билета</w:t>
      </w:r>
      <w:r>
        <w:rPr>
          <w:b w:val="0"/>
          <w:szCs w:val="26"/>
          <w:lang w:eastAsia="ru-RU"/>
        </w:rPr>
        <w:t>»</w:t>
      </w:r>
      <w:r w:rsidRPr="009E0647">
        <w:rPr>
          <w:b w:val="0"/>
          <w:szCs w:val="26"/>
          <w:lang w:eastAsia="ru-RU"/>
        </w:rPr>
        <w:t xml:space="preserve"> бесконтактно и удаленно - посредством информационно-телекоммуникационной сети </w:t>
      </w:r>
      <w:r>
        <w:rPr>
          <w:b w:val="0"/>
          <w:szCs w:val="26"/>
          <w:lang w:eastAsia="ru-RU"/>
        </w:rPr>
        <w:t>«</w:t>
      </w:r>
      <w:r w:rsidRPr="009E0647">
        <w:rPr>
          <w:b w:val="0"/>
          <w:szCs w:val="26"/>
          <w:lang w:eastAsia="ru-RU"/>
        </w:rPr>
        <w:t>Интернет</w:t>
      </w:r>
      <w:r>
        <w:rPr>
          <w:b w:val="0"/>
          <w:szCs w:val="26"/>
          <w:lang w:eastAsia="ru-RU"/>
        </w:rPr>
        <w:t>»</w:t>
      </w:r>
      <w:r w:rsidRPr="009E0647">
        <w:rPr>
          <w:b w:val="0"/>
          <w:szCs w:val="26"/>
          <w:lang w:eastAsia="ru-RU"/>
        </w:rPr>
        <w:t>;</w:t>
      </w:r>
    </w:p>
    <w:p w14:paraId="5FB4C8B0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 w:rsidRPr="009E0647">
        <w:rPr>
          <w:b w:val="0"/>
          <w:szCs w:val="26"/>
          <w:lang w:eastAsia="ru-RU"/>
        </w:rPr>
        <w:t>е) использование различных пересадочных тарифов, в том числе между различными видами общественного транспорта;</w:t>
      </w:r>
    </w:p>
    <w:p w14:paraId="3583F69C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 w:rsidRPr="009E0647">
        <w:rPr>
          <w:b w:val="0"/>
          <w:szCs w:val="26"/>
          <w:lang w:eastAsia="ru-RU"/>
        </w:rPr>
        <w:t>ж) использование тарифов по времени действия, количеству поездок, зональных тарифов;</w:t>
      </w:r>
    </w:p>
    <w:p w14:paraId="22987D04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 w:rsidRPr="009E0647">
        <w:rPr>
          <w:b w:val="0"/>
          <w:szCs w:val="26"/>
          <w:lang w:eastAsia="ru-RU"/>
        </w:rPr>
        <w:t xml:space="preserve">з) получение </w:t>
      </w:r>
      <w:r>
        <w:rPr>
          <w:b w:val="0"/>
          <w:szCs w:val="26"/>
          <w:lang w:eastAsia="ru-RU"/>
        </w:rPr>
        <w:t>«</w:t>
      </w:r>
      <w:r w:rsidRPr="009E0647">
        <w:rPr>
          <w:b w:val="0"/>
          <w:szCs w:val="26"/>
          <w:lang w:eastAsia="ru-RU"/>
        </w:rPr>
        <w:t>скидки</w:t>
      </w:r>
      <w:r>
        <w:rPr>
          <w:b w:val="0"/>
          <w:szCs w:val="26"/>
          <w:lang w:eastAsia="ru-RU"/>
        </w:rPr>
        <w:t>»</w:t>
      </w:r>
      <w:r w:rsidRPr="009E0647">
        <w:rPr>
          <w:b w:val="0"/>
          <w:szCs w:val="26"/>
          <w:lang w:eastAsia="ru-RU"/>
        </w:rPr>
        <w:t xml:space="preserve"> при оплате проезда (и провоза багажа) безналичным способом.</w:t>
      </w:r>
    </w:p>
    <w:p w14:paraId="4F00BAB9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3.4.3.</w:t>
      </w:r>
      <w:r w:rsidRPr="009E0647">
        <w:rPr>
          <w:b w:val="0"/>
          <w:szCs w:val="26"/>
          <w:lang w:eastAsia="ru-RU"/>
        </w:rPr>
        <w:t xml:space="preserve"> Температура в салоне транспортных средств.</w:t>
      </w:r>
    </w:p>
    <w:p w14:paraId="6A0834DB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 xml:space="preserve"> Т</w:t>
      </w:r>
      <w:r w:rsidRPr="009E0647">
        <w:rPr>
          <w:b w:val="0"/>
          <w:szCs w:val="26"/>
          <w:lang w:eastAsia="ru-RU"/>
        </w:rPr>
        <w:t>ранспортные средства, используемые для осуществления перевозок пассажиров и багажа автомобильным транспортом по муниципальным маршрутам регулярных перевозок, рекомендуется оборудовать системами отопления и кондиционирования воздуха, настроенными на поддержание комфортной температуры в салоне транспортного средства в любое время года. Температурный режим: не менее 12 градусов Цельсия при среднесуточной температуре наружного воздуха ниже 5 градусов Цельсия, не более 25 градусов Цельсия при среднесуточной температуре наружного воздуха выше 20 градусов Цельсия.</w:t>
      </w:r>
    </w:p>
    <w:p w14:paraId="57E093BE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3.4.4.</w:t>
      </w:r>
      <w:r w:rsidRPr="009E0647">
        <w:rPr>
          <w:b w:val="0"/>
          <w:szCs w:val="26"/>
          <w:lang w:eastAsia="ru-RU"/>
        </w:rPr>
        <w:t xml:space="preserve"> Превышение установленного заводом-производителем срока службы транспортного средства.</w:t>
      </w:r>
    </w:p>
    <w:p w14:paraId="5D90C639" w14:textId="77777777" w:rsidR="002975E0" w:rsidRPr="00893FC6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Т</w:t>
      </w:r>
      <w:r w:rsidRPr="009E0647">
        <w:rPr>
          <w:b w:val="0"/>
          <w:szCs w:val="26"/>
          <w:lang w:eastAsia="ru-RU"/>
        </w:rPr>
        <w:t xml:space="preserve">ранспортные средства, используемые для осуществления перевозок пассажиров и багажа автомобильным транспортом по муниципальным маршрутам регулярных перевозок, рекомендуется относить к транспортным средствам, у </w:t>
      </w:r>
      <w:r w:rsidRPr="009E0647">
        <w:rPr>
          <w:b w:val="0"/>
          <w:szCs w:val="26"/>
          <w:lang w:eastAsia="ru-RU"/>
        </w:rPr>
        <w:lastRenderedPageBreak/>
        <w:t xml:space="preserve">которых не превышен установленный срок службы. Информация о сроке службы приводится в сопутствующей </w:t>
      </w:r>
      <w:r w:rsidRPr="00893FC6">
        <w:rPr>
          <w:b w:val="0"/>
          <w:szCs w:val="26"/>
          <w:lang w:eastAsia="ru-RU"/>
        </w:rPr>
        <w:t>документации на транспортное средство.</w:t>
      </w:r>
    </w:p>
    <w:p w14:paraId="16116F9F" w14:textId="77777777" w:rsidR="002975E0" w:rsidRPr="00594E02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 w:rsidRPr="00594E02">
        <w:rPr>
          <w:b w:val="0"/>
          <w:szCs w:val="26"/>
          <w:lang w:eastAsia="ru-RU"/>
        </w:rPr>
        <w:t xml:space="preserve">В случае если завод-производитель не указал срок службы, то в соответствии со </w:t>
      </w:r>
      <w:hyperlink r:id="rId12" w:history="1">
        <w:r w:rsidRPr="00594E02">
          <w:rPr>
            <w:rStyle w:val="ac"/>
            <w:b w:val="0"/>
            <w:color w:val="auto"/>
            <w:szCs w:val="26"/>
            <w:u w:val="none"/>
            <w:lang w:val="ru-RU" w:eastAsia="ru-RU" w:bidi="ar-SA"/>
          </w:rPr>
          <w:t>статьей 6</w:t>
        </w:r>
      </w:hyperlink>
      <w:r w:rsidRPr="00594E02">
        <w:rPr>
          <w:b w:val="0"/>
          <w:szCs w:val="26"/>
          <w:lang w:eastAsia="ru-RU"/>
        </w:rPr>
        <w:t xml:space="preserve"> </w:t>
      </w:r>
      <w:r>
        <w:rPr>
          <w:b w:val="0"/>
          <w:szCs w:val="26"/>
          <w:lang w:eastAsia="ru-RU"/>
        </w:rPr>
        <w:t>З</w:t>
      </w:r>
      <w:r w:rsidRPr="00594E02">
        <w:rPr>
          <w:b w:val="0"/>
          <w:szCs w:val="26"/>
          <w:lang w:eastAsia="ru-RU"/>
        </w:rPr>
        <w:t>акона</w:t>
      </w:r>
      <w:r>
        <w:rPr>
          <w:b w:val="0"/>
          <w:szCs w:val="26"/>
          <w:lang w:eastAsia="ru-RU"/>
        </w:rPr>
        <w:t xml:space="preserve"> РФ</w:t>
      </w:r>
      <w:r w:rsidRPr="00594E02">
        <w:rPr>
          <w:b w:val="0"/>
          <w:szCs w:val="26"/>
          <w:lang w:eastAsia="ru-RU"/>
        </w:rPr>
        <w:t xml:space="preserve"> от 07.02.1992 № 2300-1 «О защите прав потребителей» его принимают за 10 лет со дня передачи транспортного средства потребителю.</w:t>
      </w:r>
    </w:p>
    <w:p w14:paraId="35F3E45B" w14:textId="77777777" w:rsidR="002975E0" w:rsidRPr="00594E02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bCs/>
          <w:szCs w:val="26"/>
          <w:lang w:eastAsia="ru-RU"/>
        </w:rPr>
      </w:pPr>
      <w:r w:rsidRPr="00594E02">
        <w:rPr>
          <w:b w:val="0"/>
          <w:bCs/>
          <w:szCs w:val="26"/>
          <w:lang w:eastAsia="ru-RU"/>
        </w:rPr>
        <w:t>3.4.5. Система информирования пассажиров.</w:t>
      </w:r>
    </w:p>
    <w:p w14:paraId="688C365F" w14:textId="77777777" w:rsidR="002975E0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bCs/>
          <w:szCs w:val="26"/>
          <w:lang w:eastAsia="ru-RU"/>
        </w:rPr>
      </w:pPr>
      <w:r>
        <w:rPr>
          <w:b w:val="0"/>
          <w:szCs w:val="26"/>
          <w:lang w:eastAsia="ru-RU"/>
        </w:rPr>
        <w:t>Рекомендуется обеспечить предоставление пассажирам возможности:</w:t>
      </w:r>
    </w:p>
    <w:p w14:paraId="660EC702" w14:textId="77777777" w:rsidR="002975E0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bCs/>
          <w:szCs w:val="26"/>
          <w:lang w:eastAsia="ru-RU"/>
        </w:rPr>
      </w:pPr>
      <w:r>
        <w:rPr>
          <w:b w:val="0"/>
          <w:szCs w:val="26"/>
          <w:lang w:eastAsia="ru-RU"/>
        </w:rPr>
        <w:t>а) построения маршрута, в том числе с использованием двух и более видов транспорта в границах одного или более субъектов Российской Федерации;</w:t>
      </w:r>
    </w:p>
    <w:p w14:paraId="5FF5722A" w14:textId="77777777" w:rsidR="002975E0" w:rsidRPr="0026697D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bCs/>
          <w:szCs w:val="26"/>
          <w:lang w:eastAsia="ru-RU"/>
        </w:rPr>
      </w:pPr>
      <w:r>
        <w:rPr>
          <w:b w:val="0"/>
          <w:bCs/>
          <w:szCs w:val="26"/>
          <w:lang w:eastAsia="ru-RU"/>
        </w:rPr>
        <w:t xml:space="preserve">б) </w:t>
      </w:r>
      <w:r w:rsidRPr="009E0647">
        <w:rPr>
          <w:b w:val="0"/>
          <w:szCs w:val="26"/>
          <w:lang w:eastAsia="ru-RU"/>
        </w:rPr>
        <w:t>отслеживания движения транспортных средств, используемых для осуществления перевозок пассажиров и багажа автомобильным транспортом и городским наземным электрическим транспортом по маршрутам регулярных перевозок, в режиме реального времени (</w:t>
      </w:r>
      <w:r>
        <w:rPr>
          <w:b w:val="0"/>
          <w:szCs w:val="26"/>
          <w:lang w:eastAsia="ru-RU"/>
        </w:rPr>
        <w:t>«</w:t>
      </w:r>
      <w:r w:rsidRPr="009E0647">
        <w:rPr>
          <w:b w:val="0"/>
          <w:szCs w:val="26"/>
          <w:lang w:eastAsia="ru-RU"/>
        </w:rPr>
        <w:t>онлайн</w:t>
      </w:r>
      <w:r>
        <w:rPr>
          <w:b w:val="0"/>
          <w:szCs w:val="26"/>
          <w:lang w:eastAsia="ru-RU"/>
        </w:rPr>
        <w:t>»</w:t>
      </w:r>
      <w:r w:rsidRPr="009E0647">
        <w:rPr>
          <w:b w:val="0"/>
          <w:szCs w:val="26"/>
          <w:lang w:eastAsia="ru-RU"/>
        </w:rPr>
        <w:t>).</w:t>
      </w:r>
    </w:p>
    <w:p w14:paraId="66299850" w14:textId="77777777" w:rsidR="002975E0" w:rsidRPr="0026697D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b w:val="0"/>
          <w:bCs/>
          <w:szCs w:val="26"/>
          <w:lang w:eastAsia="ru-RU"/>
        </w:rPr>
      </w:pPr>
      <w:r w:rsidRPr="0026697D">
        <w:rPr>
          <w:b w:val="0"/>
          <w:bCs/>
          <w:szCs w:val="26"/>
          <w:lang w:eastAsia="ru-RU"/>
        </w:rPr>
        <w:t xml:space="preserve">4. Перечень и целевые значения показателей, характеризующих доступность, безопасность и комфортность для населения </w:t>
      </w:r>
      <w:r w:rsidRPr="00893FC6">
        <w:rPr>
          <w:b w:val="0"/>
          <w:bCs/>
          <w:szCs w:val="26"/>
          <w:lang w:eastAsia="ru-RU"/>
        </w:rPr>
        <w:t>городско</w:t>
      </w:r>
      <w:r>
        <w:rPr>
          <w:b w:val="0"/>
          <w:bCs/>
          <w:szCs w:val="26"/>
          <w:lang w:eastAsia="ru-RU"/>
        </w:rPr>
        <w:t>го</w:t>
      </w:r>
      <w:r w:rsidRPr="00893FC6">
        <w:rPr>
          <w:b w:val="0"/>
          <w:bCs/>
          <w:szCs w:val="26"/>
          <w:lang w:eastAsia="ru-RU"/>
        </w:rPr>
        <w:t xml:space="preserve"> округ</w:t>
      </w:r>
      <w:r>
        <w:rPr>
          <w:b w:val="0"/>
          <w:bCs/>
          <w:szCs w:val="26"/>
          <w:lang w:eastAsia="ru-RU"/>
        </w:rPr>
        <w:t>а</w:t>
      </w:r>
      <w:r w:rsidRPr="00893FC6">
        <w:rPr>
          <w:b w:val="0"/>
          <w:bCs/>
          <w:szCs w:val="26"/>
          <w:lang w:eastAsia="ru-RU"/>
        </w:rPr>
        <w:t xml:space="preserve"> города Обнинска Калужской области</w:t>
      </w:r>
      <w:r w:rsidRPr="0026697D">
        <w:rPr>
          <w:b w:val="0"/>
          <w:bCs/>
          <w:szCs w:val="26"/>
          <w:lang w:eastAsia="ru-RU"/>
        </w:rPr>
        <w:t xml:space="preserve"> регулярных перевозок пассажиров и багажа автомобильным транспортом и городским наземным электрическим транспортом на территории </w:t>
      </w:r>
      <w:r w:rsidRPr="00893FC6">
        <w:rPr>
          <w:b w:val="0"/>
          <w:bCs/>
          <w:szCs w:val="26"/>
          <w:lang w:eastAsia="ru-RU"/>
        </w:rPr>
        <w:t>городско</w:t>
      </w:r>
      <w:r>
        <w:rPr>
          <w:b w:val="0"/>
          <w:bCs/>
          <w:szCs w:val="26"/>
          <w:lang w:eastAsia="ru-RU"/>
        </w:rPr>
        <w:t>го</w:t>
      </w:r>
      <w:r w:rsidRPr="00893FC6">
        <w:rPr>
          <w:b w:val="0"/>
          <w:bCs/>
          <w:szCs w:val="26"/>
          <w:lang w:eastAsia="ru-RU"/>
        </w:rPr>
        <w:t xml:space="preserve"> округ</w:t>
      </w:r>
      <w:r>
        <w:rPr>
          <w:b w:val="0"/>
          <w:bCs/>
          <w:szCs w:val="26"/>
          <w:lang w:eastAsia="ru-RU"/>
        </w:rPr>
        <w:t>а</w:t>
      </w:r>
      <w:r w:rsidRPr="00893FC6">
        <w:rPr>
          <w:b w:val="0"/>
          <w:bCs/>
          <w:szCs w:val="26"/>
          <w:lang w:eastAsia="ru-RU"/>
        </w:rPr>
        <w:t xml:space="preserve"> города Обнинска Калужской области</w:t>
      </w:r>
      <w:r>
        <w:rPr>
          <w:b w:val="0"/>
          <w:bCs/>
          <w:szCs w:val="26"/>
          <w:lang w:eastAsia="ru-RU"/>
        </w:rPr>
        <w:t>:</w:t>
      </w:r>
    </w:p>
    <w:p w14:paraId="64C513D8" w14:textId="77777777" w:rsidR="002975E0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"/>
        <w:gridCol w:w="4523"/>
        <w:gridCol w:w="155"/>
        <w:gridCol w:w="2349"/>
        <w:gridCol w:w="2010"/>
      </w:tblGrid>
      <w:tr w:rsidR="002975E0" w:rsidRPr="00FB2080" w14:paraId="31E12FAA" w14:textId="77777777" w:rsidTr="00626EEC">
        <w:tc>
          <w:tcPr>
            <w:tcW w:w="801" w:type="dxa"/>
          </w:tcPr>
          <w:p w14:paraId="77973D0D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№</w:t>
            </w:r>
          </w:p>
          <w:p w14:paraId="000E1808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п\п</w:t>
            </w:r>
          </w:p>
        </w:tc>
        <w:tc>
          <w:tcPr>
            <w:tcW w:w="4539" w:type="dxa"/>
            <w:gridSpan w:val="2"/>
          </w:tcPr>
          <w:p w14:paraId="37BCAB92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504" w:type="dxa"/>
            <w:gridSpan w:val="2"/>
          </w:tcPr>
          <w:p w14:paraId="5C0ED083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Единица измерения</w:t>
            </w:r>
          </w:p>
        </w:tc>
        <w:tc>
          <w:tcPr>
            <w:tcW w:w="2010" w:type="dxa"/>
          </w:tcPr>
          <w:p w14:paraId="3F621C37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Целевое значение показателя</w:t>
            </w:r>
          </w:p>
        </w:tc>
      </w:tr>
      <w:tr w:rsidR="002975E0" w:rsidRPr="00FB2080" w14:paraId="2275922C" w14:textId="77777777" w:rsidTr="00626EEC">
        <w:tc>
          <w:tcPr>
            <w:tcW w:w="9854" w:type="dxa"/>
            <w:gridSpan w:val="6"/>
          </w:tcPr>
          <w:p w14:paraId="26EE63C0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Cs w:val="26"/>
                <w:lang w:eastAsia="ru-RU"/>
              </w:rPr>
            </w:pPr>
            <w:r w:rsidRPr="00FB2080">
              <w:rPr>
                <w:szCs w:val="26"/>
                <w:lang w:eastAsia="ru-RU"/>
              </w:rPr>
              <w:t xml:space="preserve">1.Показатели, характеризующие доступность регулярных перевозок пассажиров </w:t>
            </w:r>
          </w:p>
        </w:tc>
      </w:tr>
      <w:tr w:rsidR="002975E0" w:rsidRPr="00FB2080" w14:paraId="17C3DCE3" w14:textId="77777777" w:rsidTr="00626EEC">
        <w:tc>
          <w:tcPr>
            <w:tcW w:w="9854" w:type="dxa"/>
            <w:gridSpan w:val="6"/>
          </w:tcPr>
          <w:p w14:paraId="13755829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ind w:left="1260"/>
              <w:jc w:val="center"/>
              <w:rPr>
                <w:szCs w:val="26"/>
                <w:lang w:eastAsia="ru-RU"/>
              </w:rPr>
            </w:pPr>
            <w:r w:rsidRPr="00E601AB">
              <w:t xml:space="preserve">1.1. Показатели территориальной доступности </w:t>
            </w:r>
            <w:r>
              <w:t>регулярных перевозок пассажиров</w:t>
            </w:r>
          </w:p>
        </w:tc>
      </w:tr>
      <w:tr w:rsidR="002975E0" w:rsidRPr="00FB2080" w14:paraId="24F14655" w14:textId="77777777" w:rsidTr="00626EEC">
        <w:tc>
          <w:tcPr>
            <w:tcW w:w="801" w:type="dxa"/>
          </w:tcPr>
          <w:p w14:paraId="4FFDA896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</w:rPr>
              <w:t>1.1.1.</w:t>
            </w:r>
          </w:p>
        </w:tc>
        <w:tc>
          <w:tcPr>
            <w:tcW w:w="4539" w:type="dxa"/>
            <w:gridSpan w:val="2"/>
          </w:tcPr>
          <w:p w14:paraId="51395E34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 xml:space="preserve">Нормативное расстояние пешеходной доступности регулярных перевозок пассажиров до остановочных пунктов маршрутов регулярных перевозок пассажиров </w:t>
            </w:r>
          </w:p>
        </w:tc>
        <w:tc>
          <w:tcPr>
            <w:tcW w:w="2504" w:type="dxa"/>
            <w:gridSpan w:val="2"/>
          </w:tcPr>
          <w:p w14:paraId="20DFD752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метров</w:t>
            </w:r>
          </w:p>
        </w:tc>
        <w:tc>
          <w:tcPr>
            <w:tcW w:w="2010" w:type="dxa"/>
          </w:tcPr>
          <w:p w14:paraId="465423E1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</w:rPr>
              <w:t>не более 500</w:t>
            </w:r>
          </w:p>
        </w:tc>
      </w:tr>
      <w:tr w:rsidR="002975E0" w:rsidRPr="00FB2080" w14:paraId="2EA4FEE7" w14:textId="77777777" w:rsidTr="00626EEC">
        <w:tc>
          <w:tcPr>
            <w:tcW w:w="801" w:type="dxa"/>
          </w:tcPr>
          <w:p w14:paraId="5723EB51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</w:rPr>
              <w:t>1.1.2.</w:t>
            </w:r>
          </w:p>
        </w:tc>
        <w:tc>
          <w:tcPr>
            <w:tcW w:w="4539" w:type="dxa"/>
            <w:gridSpan w:val="2"/>
          </w:tcPr>
          <w:p w14:paraId="1807645C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</w:rPr>
              <w:t xml:space="preserve">Максимальное расстояние пешеходной доступности регулярных перевозок пассажиров до остановочных пунктов маршрутов регулярных перевозок пассажиров </w:t>
            </w:r>
          </w:p>
        </w:tc>
        <w:tc>
          <w:tcPr>
            <w:tcW w:w="2504" w:type="dxa"/>
            <w:gridSpan w:val="2"/>
          </w:tcPr>
          <w:p w14:paraId="6EA1E068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метров</w:t>
            </w:r>
          </w:p>
        </w:tc>
        <w:tc>
          <w:tcPr>
            <w:tcW w:w="2010" w:type="dxa"/>
          </w:tcPr>
          <w:p w14:paraId="532ADE75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не более 800</w:t>
            </w:r>
          </w:p>
        </w:tc>
      </w:tr>
      <w:tr w:rsidR="002975E0" w:rsidRPr="00FB2080" w14:paraId="1FC62001" w14:textId="77777777" w:rsidTr="00626EEC">
        <w:tc>
          <w:tcPr>
            <w:tcW w:w="801" w:type="dxa"/>
          </w:tcPr>
          <w:p w14:paraId="0AD3B9F0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>
              <w:rPr>
                <w:b w:val="0"/>
              </w:rPr>
              <w:t>1.1.3.</w:t>
            </w:r>
          </w:p>
        </w:tc>
        <w:tc>
          <w:tcPr>
            <w:tcW w:w="4539" w:type="dxa"/>
            <w:gridSpan w:val="2"/>
          </w:tcPr>
          <w:p w14:paraId="7790F3BE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>
              <w:rPr>
                <w:b w:val="0"/>
              </w:rPr>
              <w:t>Доля населения, для которого пешеходная доступность регулярных перевозок пассажиров до остановочных пунктов маршрутов регулярных перевозок пассажиров находится в пределах нормативного расстояния</w:t>
            </w:r>
          </w:p>
        </w:tc>
        <w:tc>
          <w:tcPr>
            <w:tcW w:w="2504" w:type="dxa"/>
            <w:gridSpan w:val="2"/>
          </w:tcPr>
          <w:p w14:paraId="0EE3ABC6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  <w:lang w:eastAsia="ru-RU"/>
              </w:rPr>
            </w:pPr>
            <w:r w:rsidRPr="00BB6BCE">
              <w:rPr>
                <w:b w:val="0"/>
                <w:szCs w:val="26"/>
                <w:lang w:eastAsia="ru-RU"/>
              </w:rPr>
              <w:t>%</w:t>
            </w:r>
          </w:p>
        </w:tc>
        <w:tc>
          <w:tcPr>
            <w:tcW w:w="2010" w:type="dxa"/>
          </w:tcPr>
          <w:p w14:paraId="4F418633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  <w:lang w:eastAsia="ru-RU"/>
              </w:rPr>
            </w:pPr>
            <w:r>
              <w:rPr>
                <w:b w:val="0"/>
                <w:szCs w:val="26"/>
                <w:lang w:eastAsia="ru-RU"/>
              </w:rPr>
              <w:t>90,5</w:t>
            </w:r>
          </w:p>
        </w:tc>
      </w:tr>
      <w:tr w:rsidR="002975E0" w:rsidRPr="00FB2080" w14:paraId="73EE88B7" w14:textId="77777777" w:rsidTr="00626EEC">
        <w:tc>
          <w:tcPr>
            <w:tcW w:w="9854" w:type="dxa"/>
            <w:gridSpan w:val="6"/>
          </w:tcPr>
          <w:p w14:paraId="0EC6992A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Cs w:val="26"/>
                <w:lang w:eastAsia="ru-RU"/>
              </w:rPr>
            </w:pPr>
            <w:r w:rsidRPr="002B7DCB">
              <w:t>1.2.</w:t>
            </w:r>
            <w:r>
              <w:t xml:space="preserve"> Показатели ценовой доступности регулярных перевозок пассажиров</w:t>
            </w:r>
          </w:p>
        </w:tc>
      </w:tr>
      <w:tr w:rsidR="002975E0" w:rsidRPr="00FB2080" w14:paraId="7C14AF01" w14:textId="77777777" w:rsidTr="00626EEC">
        <w:tc>
          <w:tcPr>
            <w:tcW w:w="801" w:type="dxa"/>
          </w:tcPr>
          <w:p w14:paraId="20FFD7FB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</w:rPr>
              <w:t>1.2.1.</w:t>
            </w:r>
          </w:p>
        </w:tc>
        <w:tc>
          <w:tcPr>
            <w:tcW w:w="4539" w:type="dxa"/>
            <w:gridSpan w:val="2"/>
          </w:tcPr>
          <w:p w14:paraId="120D89A2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</w:rPr>
              <w:t>Совокупные расходы населения на осуществление поездок общественным транспортом</w:t>
            </w:r>
          </w:p>
        </w:tc>
        <w:tc>
          <w:tcPr>
            <w:tcW w:w="2504" w:type="dxa"/>
            <w:gridSpan w:val="2"/>
          </w:tcPr>
          <w:p w14:paraId="2C65D056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</w:rPr>
              <w:t xml:space="preserve">% от среднемесячной номинальной начисленной заработной платы на </w:t>
            </w:r>
            <w:r w:rsidRPr="00FB2080">
              <w:rPr>
                <w:b w:val="0"/>
              </w:rPr>
              <w:lastRenderedPageBreak/>
              <w:t>одного работающего в Калужской области</w:t>
            </w:r>
          </w:p>
        </w:tc>
        <w:tc>
          <w:tcPr>
            <w:tcW w:w="2010" w:type="dxa"/>
          </w:tcPr>
          <w:p w14:paraId="58F64DD4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lastRenderedPageBreak/>
              <w:t>не более 6</w:t>
            </w:r>
          </w:p>
        </w:tc>
      </w:tr>
      <w:tr w:rsidR="002975E0" w:rsidRPr="00FB2080" w14:paraId="1486710C" w14:textId="77777777" w:rsidTr="00626EEC">
        <w:tc>
          <w:tcPr>
            <w:tcW w:w="801" w:type="dxa"/>
          </w:tcPr>
          <w:p w14:paraId="408AB645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1.2.2.</w:t>
            </w:r>
          </w:p>
        </w:tc>
        <w:tc>
          <w:tcPr>
            <w:tcW w:w="4539" w:type="dxa"/>
            <w:gridSpan w:val="2"/>
          </w:tcPr>
          <w:p w14:paraId="247F471D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Доля маршрутов регулярных перевозок пассажиров, на которых предусмотрена возможность оплаты проезда посредством проездного документа</w:t>
            </w:r>
          </w:p>
        </w:tc>
        <w:tc>
          <w:tcPr>
            <w:tcW w:w="2504" w:type="dxa"/>
            <w:gridSpan w:val="2"/>
          </w:tcPr>
          <w:p w14:paraId="41D7F967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</w:rPr>
              <w:t>%</w:t>
            </w:r>
          </w:p>
        </w:tc>
        <w:tc>
          <w:tcPr>
            <w:tcW w:w="2010" w:type="dxa"/>
          </w:tcPr>
          <w:p w14:paraId="1587C467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90</w:t>
            </w:r>
          </w:p>
        </w:tc>
      </w:tr>
      <w:tr w:rsidR="002975E0" w:rsidRPr="00FB2080" w14:paraId="454F3384" w14:textId="77777777" w:rsidTr="00626EEC">
        <w:tc>
          <w:tcPr>
            <w:tcW w:w="9854" w:type="dxa"/>
            <w:gridSpan w:val="6"/>
          </w:tcPr>
          <w:p w14:paraId="04AB93BC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szCs w:val="26"/>
                <w:lang w:eastAsia="ru-RU"/>
              </w:rPr>
            </w:pPr>
            <w:r w:rsidRPr="00FB2080">
              <w:rPr>
                <w:szCs w:val="26"/>
                <w:lang w:eastAsia="ru-RU"/>
              </w:rPr>
              <w:t xml:space="preserve">1.3. Показатели информационной доступности </w:t>
            </w:r>
            <w:r>
              <w:t>регулярных перевозок пассажиров</w:t>
            </w:r>
          </w:p>
        </w:tc>
      </w:tr>
      <w:tr w:rsidR="002975E0" w:rsidRPr="00FB2080" w14:paraId="71A4B780" w14:textId="77777777" w:rsidTr="00626EEC">
        <w:tc>
          <w:tcPr>
            <w:tcW w:w="801" w:type="dxa"/>
          </w:tcPr>
          <w:p w14:paraId="0A782CD8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1.3.1.</w:t>
            </w:r>
          </w:p>
        </w:tc>
        <w:tc>
          <w:tcPr>
            <w:tcW w:w="4539" w:type="dxa"/>
            <w:gridSpan w:val="2"/>
          </w:tcPr>
          <w:p w14:paraId="3F5CFE6F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 xml:space="preserve">Доля населения, имеющего возможность получения информации о времени прибытия маршрутных транспортных средств </w:t>
            </w:r>
          </w:p>
        </w:tc>
        <w:tc>
          <w:tcPr>
            <w:tcW w:w="2504" w:type="dxa"/>
            <w:gridSpan w:val="2"/>
          </w:tcPr>
          <w:p w14:paraId="6D99C95B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</w:rPr>
              <w:t>%</w:t>
            </w:r>
          </w:p>
        </w:tc>
        <w:tc>
          <w:tcPr>
            <w:tcW w:w="2010" w:type="dxa"/>
          </w:tcPr>
          <w:p w14:paraId="3FCE8A84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5</w:t>
            </w:r>
            <w:r>
              <w:rPr>
                <w:b w:val="0"/>
                <w:szCs w:val="26"/>
                <w:lang w:eastAsia="ru-RU"/>
              </w:rPr>
              <w:t>5</w:t>
            </w:r>
          </w:p>
        </w:tc>
      </w:tr>
      <w:tr w:rsidR="002975E0" w:rsidRPr="00FB2080" w14:paraId="56BE0FB0" w14:textId="77777777" w:rsidTr="00626EEC">
        <w:tc>
          <w:tcPr>
            <w:tcW w:w="801" w:type="dxa"/>
          </w:tcPr>
          <w:p w14:paraId="5720A9A0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1.3.2.</w:t>
            </w:r>
          </w:p>
        </w:tc>
        <w:tc>
          <w:tcPr>
            <w:tcW w:w="4539" w:type="dxa"/>
            <w:gridSpan w:val="2"/>
          </w:tcPr>
          <w:p w14:paraId="1B185058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Доля маршрутных транспортных средств, подключенных к интеллектуальной транспортной системе</w:t>
            </w:r>
          </w:p>
        </w:tc>
        <w:tc>
          <w:tcPr>
            <w:tcW w:w="2504" w:type="dxa"/>
            <w:gridSpan w:val="2"/>
          </w:tcPr>
          <w:p w14:paraId="0ECF050E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</w:rPr>
              <w:t>%</w:t>
            </w:r>
          </w:p>
        </w:tc>
        <w:tc>
          <w:tcPr>
            <w:tcW w:w="2010" w:type="dxa"/>
          </w:tcPr>
          <w:p w14:paraId="3701AFB2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7</w:t>
            </w:r>
            <w:r>
              <w:rPr>
                <w:b w:val="0"/>
                <w:szCs w:val="26"/>
                <w:lang w:eastAsia="ru-RU"/>
              </w:rPr>
              <w:t>1</w:t>
            </w:r>
          </w:p>
        </w:tc>
      </w:tr>
      <w:tr w:rsidR="002975E0" w:rsidRPr="00FB2080" w14:paraId="6821A07B" w14:textId="77777777" w:rsidTr="00626EEC">
        <w:tc>
          <w:tcPr>
            <w:tcW w:w="9854" w:type="dxa"/>
            <w:gridSpan w:val="6"/>
          </w:tcPr>
          <w:p w14:paraId="546CAC7A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6"/>
                <w:lang w:eastAsia="ru-RU"/>
              </w:rPr>
            </w:pPr>
            <w:r w:rsidRPr="00FB2080">
              <w:rPr>
                <w:szCs w:val="26"/>
                <w:lang w:eastAsia="ru-RU"/>
              </w:rPr>
              <w:t xml:space="preserve">1.4 Показатели временной доступности </w:t>
            </w:r>
            <w:r>
              <w:t>регулярных перевозок пассажиров</w:t>
            </w:r>
          </w:p>
        </w:tc>
      </w:tr>
      <w:tr w:rsidR="002975E0" w:rsidRPr="00FB2080" w14:paraId="21E19710" w14:textId="77777777" w:rsidTr="00626EEC">
        <w:tc>
          <w:tcPr>
            <w:tcW w:w="801" w:type="dxa"/>
          </w:tcPr>
          <w:p w14:paraId="6D16788E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1.4.1.</w:t>
            </w:r>
          </w:p>
        </w:tc>
        <w:tc>
          <w:tcPr>
            <w:tcW w:w="4539" w:type="dxa"/>
            <w:gridSpan w:val="2"/>
          </w:tcPr>
          <w:p w14:paraId="121BD2AE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</w:rPr>
              <w:t>Время начала и окончания движения маршрутных средств</w:t>
            </w:r>
          </w:p>
        </w:tc>
        <w:tc>
          <w:tcPr>
            <w:tcW w:w="2504" w:type="dxa"/>
            <w:gridSpan w:val="2"/>
          </w:tcPr>
          <w:p w14:paraId="506E10B0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часов</w:t>
            </w:r>
          </w:p>
        </w:tc>
        <w:tc>
          <w:tcPr>
            <w:tcW w:w="2010" w:type="dxa"/>
          </w:tcPr>
          <w:p w14:paraId="2983019C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</w:rPr>
              <w:t>в любое время суток, исходя из графиков движения маршрутных транспортных средств</w:t>
            </w:r>
          </w:p>
        </w:tc>
      </w:tr>
      <w:tr w:rsidR="002975E0" w:rsidRPr="00FB2080" w14:paraId="721DE758" w14:textId="77777777" w:rsidTr="00626EEC">
        <w:tc>
          <w:tcPr>
            <w:tcW w:w="801" w:type="dxa"/>
          </w:tcPr>
          <w:p w14:paraId="666D0F09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1.4.2.</w:t>
            </w:r>
          </w:p>
        </w:tc>
        <w:tc>
          <w:tcPr>
            <w:tcW w:w="4539" w:type="dxa"/>
            <w:gridSpan w:val="2"/>
          </w:tcPr>
          <w:p w14:paraId="00E6BE64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Периодичность (интервал) движения маршрутных транспортных средств</w:t>
            </w:r>
          </w:p>
        </w:tc>
        <w:tc>
          <w:tcPr>
            <w:tcW w:w="2504" w:type="dxa"/>
            <w:gridSpan w:val="2"/>
          </w:tcPr>
          <w:p w14:paraId="2F22A7F2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минут</w:t>
            </w:r>
          </w:p>
        </w:tc>
        <w:tc>
          <w:tcPr>
            <w:tcW w:w="2010" w:type="dxa"/>
          </w:tcPr>
          <w:p w14:paraId="5F91A96F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</w:rPr>
              <w:t>периодичность (интервал) исходя из графиков движения маршрутных транспортных средств</w:t>
            </w:r>
          </w:p>
        </w:tc>
      </w:tr>
      <w:tr w:rsidR="002975E0" w:rsidRPr="00FB2080" w14:paraId="0350EC90" w14:textId="77777777" w:rsidTr="00626EEC">
        <w:tc>
          <w:tcPr>
            <w:tcW w:w="801" w:type="dxa"/>
          </w:tcPr>
          <w:p w14:paraId="0040FF3A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1.4.3.</w:t>
            </w:r>
          </w:p>
        </w:tc>
        <w:tc>
          <w:tcPr>
            <w:tcW w:w="4539" w:type="dxa"/>
            <w:gridSpan w:val="2"/>
          </w:tcPr>
          <w:p w14:paraId="588C090B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Запас времени, закладываемый пассажиром на передвижение к месту назначения с использованием только маршрутных транспортных средств</w:t>
            </w:r>
          </w:p>
        </w:tc>
        <w:tc>
          <w:tcPr>
            <w:tcW w:w="2504" w:type="dxa"/>
            <w:gridSpan w:val="2"/>
          </w:tcPr>
          <w:p w14:paraId="0F43D4F3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минут</w:t>
            </w:r>
          </w:p>
        </w:tc>
        <w:tc>
          <w:tcPr>
            <w:tcW w:w="2010" w:type="dxa"/>
          </w:tcPr>
          <w:p w14:paraId="384D29FF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FB2080">
              <w:rPr>
                <w:b w:val="0"/>
              </w:rPr>
              <w:t>не более 40</w:t>
            </w:r>
          </w:p>
        </w:tc>
      </w:tr>
      <w:tr w:rsidR="002975E0" w:rsidRPr="00FB2080" w14:paraId="7AEB22AC" w14:textId="77777777" w:rsidTr="00626EEC">
        <w:tc>
          <w:tcPr>
            <w:tcW w:w="9854" w:type="dxa"/>
            <w:gridSpan w:val="6"/>
          </w:tcPr>
          <w:p w14:paraId="52900A62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>
              <w:t>2. Показатели, характеризующие безопасность регулярных перевозок пассажиров</w:t>
            </w:r>
          </w:p>
        </w:tc>
      </w:tr>
      <w:tr w:rsidR="002975E0" w:rsidRPr="00FB2080" w14:paraId="331F28B0" w14:textId="77777777" w:rsidTr="00626EEC">
        <w:tc>
          <w:tcPr>
            <w:tcW w:w="9854" w:type="dxa"/>
            <w:gridSpan w:val="6"/>
          </w:tcPr>
          <w:p w14:paraId="299E25DC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>
              <w:t>2.1.Показатели рейсовой безопасности регулярных перевозок пассажиров</w:t>
            </w:r>
          </w:p>
        </w:tc>
      </w:tr>
      <w:tr w:rsidR="002975E0" w:rsidRPr="00FB2080" w14:paraId="1EDB042B" w14:textId="77777777" w:rsidTr="00626EEC">
        <w:tc>
          <w:tcPr>
            <w:tcW w:w="801" w:type="dxa"/>
          </w:tcPr>
          <w:p w14:paraId="4D68B184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2.1.1.</w:t>
            </w:r>
          </w:p>
        </w:tc>
        <w:tc>
          <w:tcPr>
            <w:tcW w:w="4539" w:type="dxa"/>
            <w:gridSpan w:val="2"/>
          </w:tcPr>
          <w:p w14:paraId="446EFD07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 xml:space="preserve">Доля дорожно-транспортных происшествий, произошедших по вине водителей маршрутных транспортных средств автомобильного транспорта и городского наземного электрического транспорта и учтенных в рамках ведения государственного учета в </w:t>
            </w:r>
            <w:r w:rsidRPr="00FB2080">
              <w:rPr>
                <w:b w:val="0"/>
                <w:szCs w:val="26"/>
                <w:lang w:eastAsia="ru-RU"/>
              </w:rPr>
              <w:lastRenderedPageBreak/>
              <w:t>соответствии со статьей 9 Федерального закона «О безопасности дорожного движения», в общем количестве используемых маршрутных транспортных средств автомобильного транспорта и городского наземного электрического транспорта (в течение календарного года)</w:t>
            </w:r>
          </w:p>
        </w:tc>
        <w:tc>
          <w:tcPr>
            <w:tcW w:w="2504" w:type="dxa"/>
            <w:gridSpan w:val="2"/>
          </w:tcPr>
          <w:p w14:paraId="70EDDAD8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lastRenderedPageBreak/>
              <w:t>%</w:t>
            </w:r>
          </w:p>
        </w:tc>
        <w:tc>
          <w:tcPr>
            <w:tcW w:w="2010" w:type="dxa"/>
          </w:tcPr>
          <w:p w14:paraId="6FF1807C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FB2080">
              <w:rPr>
                <w:b w:val="0"/>
              </w:rPr>
              <w:t>не более 5</w:t>
            </w:r>
          </w:p>
        </w:tc>
      </w:tr>
      <w:tr w:rsidR="002975E0" w:rsidRPr="00FB2080" w14:paraId="32950CED" w14:textId="77777777" w:rsidTr="00626EEC">
        <w:tc>
          <w:tcPr>
            <w:tcW w:w="9854" w:type="dxa"/>
            <w:gridSpan w:val="6"/>
          </w:tcPr>
          <w:p w14:paraId="533BA77B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>
              <w:t>2.2. Показатели технической безопасности регулярных перевозок пассажиров</w:t>
            </w:r>
          </w:p>
        </w:tc>
      </w:tr>
      <w:tr w:rsidR="002975E0" w:rsidRPr="00FB2080" w14:paraId="7E966957" w14:textId="77777777" w:rsidTr="00626EEC">
        <w:tc>
          <w:tcPr>
            <w:tcW w:w="801" w:type="dxa"/>
          </w:tcPr>
          <w:p w14:paraId="1B1DA183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2.2.1.</w:t>
            </w:r>
          </w:p>
        </w:tc>
        <w:tc>
          <w:tcPr>
            <w:tcW w:w="4539" w:type="dxa"/>
            <w:gridSpan w:val="2"/>
          </w:tcPr>
          <w:p w14:paraId="5AC9E805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rPr>
                <w:b w:val="0"/>
                <w:szCs w:val="26"/>
                <w:lang w:eastAsia="ru-RU"/>
              </w:rPr>
            </w:pPr>
            <w:r>
              <w:rPr>
                <w:b w:val="0"/>
                <w:szCs w:val="26"/>
                <w:lang w:eastAsia="ru-RU"/>
              </w:rPr>
              <w:t xml:space="preserve">Доля дорожно-транспортных происшествий, произошедших по причине технической неисправности маршрутных транспортных средств автомобильного транспорта и городского наземного электрического транспорта и учтенных в рамках ведения государственного учета в соответствии со </w:t>
            </w:r>
            <w:hyperlink r:id="rId13" w:history="1">
              <w:r>
                <w:rPr>
                  <w:b w:val="0"/>
                  <w:color w:val="0000FF"/>
                  <w:szCs w:val="26"/>
                  <w:lang w:eastAsia="ru-RU"/>
                </w:rPr>
                <w:t>статьей 9</w:t>
              </w:r>
            </w:hyperlink>
            <w:r>
              <w:rPr>
                <w:b w:val="0"/>
                <w:szCs w:val="26"/>
                <w:lang w:eastAsia="ru-RU"/>
              </w:rPr>
              <w:t xml:space="preserve"> Федерального закона «О безопасности дорожного движения», в общем количестве используемых маршрутных транспортных средств автомобильного транспорта и городского наземного электрического транспорта (в течение календарного года)</w:t>
            </w:r>
          </w:p>
        </w:tc>
        <w:tc>
          <w:tcPr>
            <w:tcW w:w="2504" w:type="dxa"/>
            <w:gridSpan w:val="2"/>
          </w:tcPr>
          <w:p w14:paraId="0ED6E1F5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%</w:t>
            </w:r>
          </w:p>
        </w:tc>
        <w:tc>
          <w:tcPr>
            <w:tcW w:w="2010" w:type="dxa"/>
          </w:tcPr>
          <w:p w14:paraId="64A73B2F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FB2080">
              <w:rPr>
                <w:b w:val="0"/>
              </w:rPr>
              <w:t>не более 1</w:t>
            </w:r>
          </w:p>
        </w:tc>
      </w:tr>
      <w:tr w:rsidR="002975E0" w:rsidRPr="00FB2080" w14:paraId="16107E55" w14:textId="77777777" w:rsidTr="00626EEC">
        <w:tc>
          <w:tcPr>
            <w:tcW w:w="9854" w:type="dxa"/>
            <w:gridSpan w:val="6"/>
          </w:tcPr>
          <w:p w14:paraId="6B5424B1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szCs w:val="26"/>
                <w:lang w:eastAsia="ru-RU"/>
              </w:rPr>
              <w:t>2.3. Показатели дорожной безопасности</w:t>
            </w:r>
            <w:r>
              <w:t xml:space="preserve"> регулярных перевозок пассажиров</w:t>
            </w:r>
          </w:p>
        </w:tc>
      </w:tr>
      <w:tr w:rsidR="002975E0" w:rsidRPr="00FB2080" w14:paraId="63EBF7AC" w14:textId="77777777" w:rsidTr="00626EEC">
        <w:tc>
          <w:tcPr>
            <w:tcW w:w="801" w:type="dxa"/>
          </w:tcPr>
          <w:p w14:paraId="11CB493D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2.3.1.</w:t>
            </w:r>
          </w:p>
        </w:tc>
        <w:tc>
          <w:tcPr>
            <w:tcW w:w="4539" w:type="dxa"/>
            <w:gridSpan w:val="2"/>
          </w:tcPr>
          <w:p w14:paraId="3EC57224" w14:textId="77777777" w:rsidR="002975E0" w:rsidRDefault="002975E0" w:rsidP="00626EEC">
            <w:pPr>
              <w:suppressAutoHyphens w:val="0"/>
              <w:autoSpaceDE w:val="0"/>
              <w:autoSpaceDN w:val="0"/>
              <w:adjustRightInd w:val="0"/>
              <w:rPr>
                <w:b w:val="0"/>
                <w:szCs w:val="26"/>
                <w:lang w:eastAsia="ru-RU"/>
              </w:rPr>
            </w:pPr>
            <w:r>
              <w:rPr>
                <w:b w:val="0"/>
                <w:szCs w:val="26"/>
                <w:lang w:eastAsia="ru-RU"/>
              </w:rPr>
              <w:t xml:space="preserve">Доля дорожно-транспортных происшествий, произошедших по причине неудовлетворительного состояния дорог с маршрутными транспортными средствами автомобильного транспорта и городского наземного электрического транспорта и учтенных в рамках ведения государственного учета в соответствии со </w:t>
            </w:r>
            <w:hyperlink r:id="rId14" w:history="1">
              <w:r>
                <w:rPr>
                  <w:b w:val="0"/>
                  <w:color w:val="0000FF"/>
                  <w:szCs w:val="26"/>
                  <w:lang w:eastAsia="ru-RU"/>
                </w:rPr>
                <w:t>статьей 9</w:t>
              </w:r>
            </w:hyperlink>
            <w:r>
              <w:rPr>
                <w:b w:val="0"/>
                <w:szCs w:val="26"/>
                <w:lang w:eastAsia="ru-RU"/>
              </w:rPr>
              <w:t xml:space="preserve"> Федерального закона «О безопасности дорожного движения», в общем количестве используемых маршрутных транспортных средств автомобильного транспорта и городского наземного электрического транспорта (в течение календарного года)</w:t>
            </w:r>
          </w:p>
          <w:p w14:paraId="37B8A5C5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</w:p>
        </w:tc>
        <w:tc>
          <w:tcPr>
            <w:tcW w:w="2504" w:type="dxa"/>
            <w:gridSpan w:val="2"/>
          </w:tcPr>
          <w:p w14:paraId="41BC567A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%</w:t>
            </w:r>
          </w:p>
        </w:tc>
        <w:tc>
          <w:tcPr>
            <w:tcW w:w="2010" w:type="dxa"/>
          </w:tcPr>
          <w:p w14:paraId="714E4CFA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не более 1</w:t>
            </w:r>
          </w:p>
        </w:tc>
      </w:tr>
      <w:tr w:rsidR="002975E0" w:rsidRPr="00FB2080" w14:paraId="2955B03C" w14:textId="77777777" w:rsidTr="00626EEC">
        <w:tc>
          <w:tcPr>
            <w:tcW w:w="9854" w:type="dxa"/>
            <w:gridSpan w:val="6"/>
          </w:tcPr>
          <w:p w14:paraId="6E896E34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>
              <w:t>2.4. Показатели экологической безопасности регулярных перевозок пассажиров</w:t>
            </w:r>
          </w:p>
        </w:tc>
      </w:tr>
      <w:tr w:rsidR="002975E0" w:rsidRPr="00FB2080" w14:paraId="5D3E3903" w14:textId="77777777" w:rsidTr="00626EEC">
        <w:tc>
          <w:tcPr>
            <w:tcW w:w="801" w:type="dxa"/>
          </w:tcPr>
          <w:p w14:paraId="5756C4A3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lastRenderedPageBreak/>
              <w:t>2.4.1.</w:t>
            </w:r>
          </w:p>
        </w:tc>
        <w:tc>
          <w:tcPr>
            <w:tcW w:w="4539" w:type="dxa"/>
            <w:gridSpan w:val="2"/>
          </w:tcPr>
          <w:p w14:paraId="36C28F10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Доля маршрутных транспортных средств автомобильного транспорта и городского  наземного электрического транспорта, соответствующих экологическому классу 4, в общем количестве используемых маршрутных транспортных средств автомобильного транспорта и городского наземного электрического транспорта</w:t>
            </w:r>
          </w:p>
        </w:tc>
        <w:tc>
          <w:tcPr>
            <w:tcW w:w="2504" w:type="dxa"/>
            <w:gridSpan w:val="2"/>
          </w:tcPr>
          <w:p w14:paraId="60F7173A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%</w:t>
            </w:r>
          </w:p>
        </w:tc>
        <w:tc>
          <w:tcPr>
            <w:tcW w:w="2010" w:type="dxa"/>
          </w:tcPr>
          <w:p w14:paraId="0242F1AD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100</w:t>
            </w:r>
          </w:p>
        </w:tc>
      </w:tr>
      <w:tr w:rsidR="002975E0" w:rsidRPr="00FB2080" w14:paraId="15F207FE" w14:textId="77777777" w:rsidTr="00626EEC">
        <w:tc>
          <w:tcPr>
            <w:tcW w:w="9854" w:type="dxa"/>
            <w:gridSpan w:val="6"/>
          </w:tcPr>
          <w:p w14:paraId="371E06A7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szCs w:val="26"/>
                <w:lang w:eastAsia="ru-RU"/>
              </w:rPr>
              <w:t>3. Показатели, характеризующие комфортность регулярных перевозок пассажиров</w:t>
            </w:r>
          </w:p>
        </w:tc>
      </w:tr>
      <w:tr w:rsidR="002975E0" w:rsidRPr="00FB2080" w14:paraId="28A7EE75" w14:textId="77777777" w:rsidTr="00626EEC">
        <w:tc>
          <w:tcPr>
            <w:tcW w:w="9854" w:type="dxa"/>
            <w:gridSpan w:val="6"/>
          </w:tcPr>
          <w:p w14:paraId="01294E27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szCs w:val="26"/>
                <w:lang w:eastAsia="ru-RU"/>
              </w:rPr>
              <w:t>3.1. Показатели комфортности регулярных перевозок пассажиров в части ожидания</w:t>
            </w:r>
          </w:p>
        </w:tc>
      </w:tr>
      <w:tr w:rsidR="002975E0" w:rsidRPr="00FB2080" w14:paraId="6D1659AE" w14:textId="77777777" w:rsidTr="00626EEC">
        <w:tc>
          <w:tcPr>
            <w:tcW w:w="817" w:type="dxa"/>
            <w:gridSpan w:val="2"/>
          </w:tcPr>
          <w:p w14:paraId="4D73D280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3.1.1.</w:t>
            </w:r>
          </w:p>
        </w:tc>
        <w:tc>
          <w:tcPr>
            <w:tcW w:w="4523" w:type="dxa"/>
          </w:tcPr>
          <w:p w14:paraId="6F5F4F3A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Доля остановочных пунктов автомобильного транспорта и городского наземного электрического транспорта, соответствующих нормативным требованиям, установленным актами технического регулирования, в общем количестве остановочных пунктов автомобильного транспорта и городского наземного электрического транспорта</w:t>
            </w:r>
          </w:p>
        </w:tc>
        <w:tc>
          <w:tcPr>
            <w:tcW w:w="2504" w:type="dxa"/>
            <w:gridSpan w:val="2"/>
          </w:tcPr>
          <w:p w14:paraId="366F5A9C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%</w:t>
            </w:r>
          </w:p>
        </w:tc>
        <w:tc>
          <w:tcPr>
            <w:tcW w:w="2010" w:type="dxa"/>
          </w:tcPr>
          <w:p w14:paraId="68F3D3EF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</w:tr>
      <w:tr w:rsidR="002975E0" w:rsidRPr="00FB2080" w14:paraId="3094AE95" w14:textId="77777777" w:rsidTr="00626EEC">
        <w:tc>
          <w:tcPr>
            <w:tcW w:w="817" w:type="dxa"/>
            <w:gridSpan w:val="2"/>
          </w:tcPr>
          <w:p w14:paraId="0D7B4A98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3.1.2.</w:t>
            </w:r>
          </w:p>
        </w:tc>
        <w:tc>
          <w:tcPr>
            <w:tcW w:w="4523" w:type="dxa"/>
          </w:tcPr>
          <w:p w14:paraId="4DE96FBA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Доля рейсов автомобильного транспорта, городского наземного электрического транспорта и иных видов транспорта, выполненных по расписанию, в общем количестве рейсов автомобильного транспорта, городского наземного электрического транспорта и иных видов транспорта, в том числе в городском и пригородном сообщении</w:t>
            </w:r>
          </w:p>
        </w:tc>
        <w:tc>
          <w:tcPr>
            <w:tcW w:w="2504" w:type="dxa"/>
            <w:gridSpan w:val="2"/>
          </w:tcPr>
          <w:p w14:paraId="0F70097E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%</w:t>
            </w:r>
          </w:p>
        </w:tc>
        <w:tc>
          <w:tcPr>
            <w:tcW w:w="2010" w:type="dxa"/>
          </w:tcPr>
          <w:p w14:paraId="5828CEDC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не менее 80</w:t>
            </w:r>
          </w:p>
        </w:tc>
      </w:tr>
      <w:tr w:rsidR="002975E0" w:rsidRPr="00FB2080" w14:paraId="66EBE007" w14:textId="77777777" w:rsidTr="00626EEC">
        <w:tc>
          <w:tcPr>
            <w:tcW w:w="9854" w:type="dxa"/>
            <w:gridSpan w:val="6"/>
          </w:tcPr>
          <w:p w14:paraId="52FA49BE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>
              <w:t>3.2. Показатели комфортности регулярных перевозок пассажиров в части передвижения</w:t>
            </w:r>
          </w:p>
        </w:tc>
      </w:tr>
      <w:tr w:rsidR="002975E0" w:rsidRPr="00FB2080" w14:paraId="046C0DB5" w14:textId="77777777" w:rsidTr="00626EEC">
        <w:tc>
          <w:tcPr>
            <w:tcW w:w="801" w:type="dxa"/>
          </w:tcPr>
          <w:p w14:paraId="01FE5CDD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3.2.1</w:t>
            </w:r>
          </w:p>
        </w:tc>
        <w:tc>
          <w:tcPr>
            <w:tcW w:w="4694" w:type="dxa"/>
            <w:gridSpan w:val="3"/>
          </w:tcPr>
          <w:p w14:paraId="163D487B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>
              <w:rPr>
                <w:b w:val="0"/>
                <w:szCs w:val="26"/>
                <w:lang w:eastAsia="ru-RU"/>
              </w:rPr>
              <w:t xml:space="preserve">Максимальная </w:t>
            </w:r>
            <w:r w:rsidRPr="00FB2080">
              <w:rPr>
                <w:b w:val="0"/>
                <w:szCs w:val="26"/>
                <w:lang w:eastAsia="ru-RU"/>
              </w:rPr>
              <w:t xml:space="preserve">фактическая наполняемость маршрутных транспортных средств автомобильного транспорта и городского наземного электрического транспорта, осуществляющих перевозки по муниципальным маршрутам регулярных перевозок городского и пригородного сообщения, пассажирами на 1 кв. метр свободной площади пола салона указанных транспортных </w:t>
            </w:r>
            <w:r w:rsidRPr="00FB2080">
              <w:rPr>
                <w:b w:val="0"/>
                <w:szCs w:val="26"/>
                <w:lang w:eastAsia="ru-RU"/>
              </w:rPr>
              <w:lastRenderedPageBreak/>
              <w:t>средств, предусмотренной для размещения стоящих пассажиров</w:t>
            </w:r>
          </w:p>
        </w:tc>
        <w:tc>
          <w:tcPr>
            <w:tcW w:w="2349" w:type="dxa"/>
          </w:tcPr>
          <w:p w14:paraId="48124105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lastRenderedPageBreak/>
              <w:t>человек</w:t>
            </w:r>
          </w:p>
        </w:tc>
        <w:tc>
          <w:tcPr>
            <w:tcW w:w="2010" w:type="dxa"/>
          </w:tcPr>
          <w:p w14:paraId="7F553F58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3</w:t>
            </w:r>
          </w:p>
        </w:tc>
      </w:tr>
      <w:tr w:rsidR="002975E0" w:rsidRPr="00FB2080" w14:paraId="6F7E9F4E" w14:textId="77777777" w:rsidTr="00626EEC">
        <w:tc>
          <w:tcPr>
            <w:tcW w:w="801" w:type="dxa"/>
            <w:vMerge w:val="restart"/>
          </w:tcPr>
          <w:p w14:paraId="40567A3F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3.2.2.</w:t>
            </w:r>
          </w:p>
        </w:tc>
        <w:tc>
          <w:tcPr>
            <w:tcW w:w="4694" w:type="dxa"/>
            <w:gridSpan w:val="3"/>
          </w:tcPr>
          <w:p w14:paraId="509CA425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Доля маршрутных транспортных средств автомобильного транспорта и городского наземного электр</w:t>
            </w:r>
            <w:r>
              <w:rPr>
                <w:b w:val="0"/>
                <w:szCs w:val="26"/>
                <w:lang w:eastAsia="ru-RU"/>
              </w:rPr>
              <w:t>ического транспорта, оснащенных:</w:t>
            </w:r>
            <w:r w:rsidRPr="00FB2080">
              <w:rPr>
                <w:b w:val="0"/>
                <w:szCs w:val="26"/>
                <w:lang w:eastAsia="ru-RU"/>
              </w:rPr>
              <w:t xml:space="preserve"> </w:t>
            </w:r>
          </w:p>
        </w:tc>
        <w:tc>
          <w:tcPr>
            <w:tcW w:w="2349" w:type="dxa"/>
          </w:tcPr>
          <w:p w14:paraId="2451F071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  <w:tc>
          <w:tcPr>
            <w:tcW w:w="2010" w:type="dxa"/>
          </w:tcPr>
          <w:p w14:paraId="7681E016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</w:tr>
      <w:tr w:rsidR="002975E0" w:rsidRPr="00FB2080" w14:paraId="3D4A4B08" w14:textId="77777777" w:rsidTr="00626EEC">
        <w:tc>
          <w:tcPr>
            <w:tcW w:w="801" w:type="dxa"/>
            <w:vMerge/>
          </w:tcPr>
          <w:p w14:paraId="67B26227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</w:p>
        </w:tc>
        <w:tc>
          <w:tcPr>
            <w:tcW w:w="4694" w:type="dxa"/>
            <w:gridSpan w:val="3"/>
          </w:tcPr>
          <w:p w14:paraId="416C64E2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>
              <w:rPr>
                <w:b w:val="0"/>
                <w:szCs w:val="26"/>
                <w:lang w:eastAsia="ru-RU"/>
              </w:rPr>
              <w:t xml:space="preserve">- </w:t>
            </w:r>
            <w:r w:rsidRPr="00FB2080">
              <w:rPr>
                <w:b w:val="0"/>
                <w:szCs w:val="26"/>
                <w:lang w:eastAsia="ru-RU"/>
              </w:rPr>
              <w:t>системой безналичной оплаты проезда</w:t>
            </w:r>
            <w:r>
              <w:rPr>
                <w:b w:val="0"/>
                <w:szCs w:val="26"/>
                <w:lang w:eastAsia="ru-RU"/>
              </w:rPr>
              <w:t>;</w:t>
            </w:r>
          </w:p>
        </w:tc>
        <w:tc>
          <w:tcPr>
            <w:tcW w:w="2349" w:type="dxa"/>
          </w:tcPr>
          <w:p w14:paraId="76670F76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%</w:t>
            </w:r>
          </w:p>
        </w:tc>
        <w:tc>
          <w:tcPr>
            <w:tcW w:w="2010" w:type="dxa"/>
          </w:tcPr>
          <w:p w14:paraId="6AC90824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100</w:t>
            </w:r>
          </w:p>
        </w:tc>
      </w:tr>
      <w:tr w:rsidR="002975E0" w:rsidRPr="00FB2080" w14:paraId="057E40B6" w14:textId="77777777" w:rsidTr="00626EEC">
        <w:tc>
          <w:tcPr>
            <w:tcW w:w="801" w:type="dxa"/>
            <w:vMerge/>
          </w:tcPr>
          <w:p w14:paraId="662D58C8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</w:p>
        </w:tc>
        <w:tc>
          <w:tcPr>
            <w:tcW w:w="4694" w:type="dxa"/>
            <w:gridSpan w:val="3"/>
          </w:tcPr>
          <w:p w14:paraId="74B3D98E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>
              <w:rPr>
                <w:b w:val="0"/>
                <w:szCs w:val="26"/>
                <w:lang w:eastAsia="ru-RU"/>
              </w:rPr>
              <w:t xml:space="preserve">- </w:t>
            </w:r>
            <w:r w:rsidRPr="00491571">
              <w:rPr>
                <w:b w:val="0"/>
                <w:szCs w:val="26"/>
                <w:lang w:eastAsia="ru-RU"/>
              </w:rPr>
              <w:t>с низким полом (без ступ</w:t>
            </w:r>
            <w:r>
              <w:rPr>
                <w:b w:val="0"/>
                <w:szCs w:val="26"/>
                <w:lang w:eastAsia="ru-RU"/>
              </w:rPr>
              <w:t>еней);</w:t>
            </w:r>
          </w:p>
        </w:tc>
        <w:tc>
          <w:tcPr>
            <w:tcW w:w="2349" w:type="dxa"/>
          </w:tcPr>
          <w:p w14:paraId="32AE01D1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%</w:t>
            </w:r>
          </w:p>
        </w:tc>
        <w:tc>
          <w:tcPr>
            <w:tcW w:w="2010" w:type="dxa"/>
          </w:tcPr>
          <w:p w14:paraId="588871B0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>
              <w:rPr>
                <w:b w:val="0"/>
              </w:rPr>
              <w:t>59</w:t>
            </w:r>
          </w:p>
        </w:tc>
      </w:tr>
      <w:tr w:rsidR="002975E0" w:rsidRPr="00FB2080" w14:paraId="692473D0" w14:textId="77777777" w:rsidTr="00626EEC">
        <w:tc>
          <w:tcPr>
            <w:tcW w:w="801" w:type="dxa"/>
            <w:vMerge/>
          </w:tcPr>
          <w:p w14:paraId="57853C70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</w:p>
        </w:tc>
        <w:tc>
          <w:tcPr>
            <w:tcW w:w="4694" w:type="dxa"/>
            <w:gridSpan w:val="3"/>
          </w:tcPr>
          <w:p w14:paraId="2D6C88FA" w14:textId="77777777" w:rsidR="002975E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>
              <w:rPr>
                <w:b w:val="0"/>
                <w:szCs w:val="26"/>
                <w:lang w:eastAsia="ru-RU"/>
              </w:rPr>
              <w:t>-</w:t>
            </w:r>
            <w:r w:rsidRPr="001E0899">
              <w:rPr>
                <w:b w:val="0"/>
                <w:szCs w:val="26"/>
                <w:lang w:eastAsia="ru-RU"/>
              </w:rPr>
              <w:t xml:space="preserve"> электронными информационными табло;</w:t>
            </w:r>
          </w:p>
        </w:tc>
        <w:tc>
          <w:tcPr>
            <w:tcW w:w="2349" w:type="dxa"/>
          </w:tcPr>
          <w:p w14:paraId="37CFB510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%</w:t>
            </w:r>
          </w:p>
        </w:tc>
        <w:tc>
          <w:tcPr>
            <w:tcW w:w="2010" w:type="dxa"/>
          </w:tcPr>
          <w:p w14:paraId="36620346" w14:textId="77777777" w:rsidR="002975E0" w:rsidRDefault="002975E0" w:rsidP="00626EEC">
            <w:pPr>
              <w:jc w:val="center"/>
            </w:pPr>
            <w:r w:rsidRPr="005B5225">
              <w:rPr>
                <w:b w:val="0"/>
              </w:rPr>
              <w:t>59</w:t>
            </w:r>
          </w:p>
        </w:tc>
      </w:tr>
      <w:tr w:rsidR="002975E0" w:rsidRPr="00FB2080" w14:paraId="5A860E09" w14:textId="77777777" w:rsidTr="00626EEC">
        <w:tc>
          <w:tcPr>
            <w:tcW w:w="801" w:type="dxa"/>
            <w:vMerge/>
          </w:tcPr>
          <w:p w14:paraId="367BD52B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</w:p>
        </w:tc>
        <w:tc>
          <w:tcPr>
            <w:tcW w:w="4694" w:type="dxa"/>
            <w:gridSpan w:val="3"/>
          </w:tcPr>
          <w:p w14:paraId="47ADADF5" w14:textId="77777777" w:rsidR="002975E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>
              <w:rPr>
                <w:b w:val="0"/>
                <w:szCs w:val="26"/>
                <w:lang w:eastAsia="ru-RU"/>
              </w:rPr>
              <w:t>- местами для перевозки детских колясок, велосипедов;</w:t>
            </w:r>
          </w:p>
        </w:tc>
        <w:tc>
          <w:tcPr>
            <w:tcW w:w="2349" w:type="dxa"/>
          </w:tcPr>
          <w:p w14:paraId="6CF779F3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%</w:t>
            </w:r>
          </w:p>
        </w:tc>
        <w:tc>
          <w:tcPr>
            <w:tcW w:w="2010" w:type="dxa"/>
          </w:tcPr>
          <w:p w14:paraId="6D0E5955" w14:textId="77777777" w:rsidR="002975E0" w:rsidRDefault="002975E0" w:rsidP="00626EEC">
            <w:pPr>
              <w:jc w:val="center"/>
            </w:pPr>
            <w:r w:rsidRPr="005B5225">
              <w:rPr>
                <w:b w:val="0"/>
              </w:rPr>
              <w:t>59</w:t>
            </w:r>
          </w:p>
        </w:tc>
      </w:tr>
      <w:tr w:rsidR="002975E0" w:rsidRPr="00FB2080" w14:paraId="0116D905" w14:textId="77777777" w:rsidTr="00626EEC">
        <w:tc>
          <w:tcPr>
            <w:tcW w:w="801" w:type="dxa"/>
            <w:vMerge/>
          </w:tcPr>
          <w:p w14:paraId="63D5485B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</w:p>
        </w:tc>
        <w:tc>
          <w:tcPr>
            <w:tcW w:w="4694" w:type="dxa"/>
            <w:gridSpan w:val="3"/>
          </w:tcPr>
          <w:p w14:paraId="0845CA24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 xml:space="preserve"> </w:t>
            </w:r>
            <w:r w:rsidRPr="00010AF1">
              <w:rPr>
                <w:b w:val="0"/>
                <w:szCs w:val="26"/>
                <w:lang w:eastAsia="ru-RU"/>
              </w:rPr>
              <w:t>- средствами индивидуальной  мобильности и крупногабаритного багажа;</w:t>
            </w:r>
          </w:p>
        </w:tc>
        <w:tc>
          <w:tcPr>
            <w:tcW w:w="2349" w:type="dxa"/>
          </w:tcPr>
          <w:p w14:paraId="78687CF3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%</w:t>
            </w:r>
          </w:p>
        </w:tc>
        <w:tc>
          <w:tcPr>
            <w:tcW w:w="2010" w:type="dxa"/>
          </w:tcPr>
          <w:p w14:paraId="5B8E671E" w14:textId="77777777" w:rsidR="002975E0" w:rsidRDefault="002975E0" w:rsidP="00626EEC">
            <w:pPr>
              <w:jc w:val="center"/>
            </w:pPr>
            <w:r w:rsidRPr="005B5225">
              <w:rPr>
                <w:b w:val="0"/>
              </w:rPr>
              <w:t>59</w:t>
            </w:r>
          </w:p>
        </w:tc>
      </w:tr>
      <w:tr w:rsidR="002975E0" w:rsidRPr="00FB2080" w14:paraId="582B79AD" w14:textId="77777777" w:rsidTr="00626EEC">
        <w:tc>
          <w:tcPr>
            <w:tcW w:w="801" w:type="dxa"/>
            <w:vMerge/>
          </w:tcPr>
          <w:p w14:paraId="6490569A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</w:p>
        </w:tc>
        <w:tc>
          <w:tcPr>
            <w:tcW w:w="4694" w:type="dxa"/>
            <w:gridSpan w:val="3"/>
          </w:tcPr>
          <w:p w14:paraId="10573E39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>
              <w:rPr>
                <w:b w:val="0"/>
                <w:szCs w:val="26"/>
                <w:lang w:eastAsia="ru-RU"/>
              </w:rPr>
              <w:t xml:space="preserve">- </w:t>
            </w:r>
            <w:r w:rsidRPr="00FB2080">
              <w:rPr>
                <w:b w:val="0"/>
                <w:szCs w:val="26"/>
                <w:lang w:eastAsia="ru-RU"/>
              </w:rPr>
              <w:t>системами контроля температуры воздуха в салоне;</w:t>
            </w:r>
          </w:p>
        </w:tc>
        <w:tc>
          <w:tcPr>
            <w:tcW w:w="2349" w:type="dxa"/>
          </w:tcPr>
          <w:p w14:paraId="7DFABB56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%</w:t>
            </w:r>
          </w:p>
        </w:tc>
        <w:tc>
          <w:tcPr>
            <w:tcW w:w="2010" w:type="dxa"/>
          </w:tcPr>
          <w:p w14:paraId="16F1E002" w14:textId="77777777" w:rsidR="002975E0" w:rsidRDefault="002975E0" w:rsidP="00626EEC">
            <w:pPr>
              <w:jc w:val="center"/>
            </w:pPr>
            <w:r w:rsidRPr="005B5225">
              <w:rPr>
                <w:b w:val="0"/>
              </w:rPr>
              <w:t>59</w:t>
            </w:r>
          </w:p>
        </w:tc>
      </w:tr>
      <w:tr w:rsidR="002975E0" w:rsidRPr="00FB2080" w14:paraId="17531157" w14:textId="77777777" w:rsidTr="00626EEC">
        <w:tc>
          <w:tcPr>
            <w:tcW w:w="801" w:type="dxa"/>
            <w:vMerge/>
          </w:tcPr>
          <w:p w14:paraId="16E7D098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</w:p>
        </w:tc>
        <w:tc>
          <w:tcPr>
            <w:tcW w:w="4694" w:type="dxa"/>
            <w:gridSpan w:val="3"/>
          </w:tcPr>
          <w:p w14:paraId="563A1C87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- оборудованных для инвалидов и других групп маломобильных пассажиров, в том числе системой радиоинформирования и звукового ориентирования для инвалидов по зрению и других маломобильных групп населения, в общем количестве маршрутных транспортных средств автомобильного транспорта и городского наземного электрического транспорта;</w:t>
            </w:r>
          </w:p>
        </w:tc>
        <w:tc>
          <w:tcPr>
            <w:tcW w:w="2349" w:type="dxa"/>
          </w:tcPr>
          <w:p w14:paraId="0E65418F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%</w:t>
            </w:r>
          </w:p>
        </w:tc>
        <w:tc>
          <w:tcPr>
            <w:tcW w:w="2010" w:type="dxa"/>
          </w:tcPr>
          <w:p w14:paraId="5D90CE9C" w14:textId="77777777" w:rsidR="002975E0" w:rsidRDefault="002975E0" w:rsidP="00626EEC">
            <w:pPr>
              <w:jc w:val="center"/>
            </w:pPr>
            <w:r w:rsidRPr="005B5225">
              <w:rPr>
                <w:b w:val="0"/>
              </w:rPr>
              <w:t>59</w:t>
            </w:r>
          </w:p>
        </w:tc>
      </w:tr>
      <w:tr w:rsidR="002975E0" w:rsidRPr="00FB2080" w14:paraId="1700C788" w14:textId="77777777" w:rsidTr="00626EEC">
        <w:tc>
          <w:tcPr>
            <w:tcW w:w="9854" w:type="dxa"/>
            <w:gridSpan w:val="6"/>
          </w:tcPr>
          <w:p w14:paraId="68CCE1D6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szCs w:val="26"/>
                <w:lang w:eastAsia="ru-RU"/>
              </w:rPr>
              <w:t>3.3. Показатели комфортности регулярных перевозок пассажиров в части пересадок</w:t>
            </w:r>
          </w:p>
        </w:tc>
      </w:tr>
      <w:tr w:rsidR="002975E0" w:rsidRPr="00FB2080" w14:paraId="5C08432D" w14:textId="77777777" w:rsidTr="00626EEC">
        <w:tc>
          <w:tcPr>
            <w:tcW w:w="801" w:type="dxa"/>
          </w:tcPr>
          <w:p w14:paraId="13F35864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3.3.1.</w:t>
            </w:r>
          </w:p>
        </w:tc>
        <w:tc>
          <w:tcPr>
            <w:tcW w:w="4539" w:type="dxa"/>
            <w:gridSpan w:val="2"/>
          </w:tcPr>
          <w:p w14:paraId="7992BFB4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Допустимое время, затрачиваемое на передвижение между остановочными пунктами автомобильного транспорта и городского наземного электрического транспорта, используемыми пассажирами для осуществления пересадок по муниципальным маршрутам регулярных перевозок</w:t>
            </w:r>
          </w:p>
        </w:tc>
        <w:tc>
          <w:tcPr>
            <w:tcW w:w="2504" w:type="dxa"/>
            <w:gridSpan w:val="2"/>
          </w:tcPr>
          <w:p w14:paraId="0DD15242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минут</w:t>
            </w:r>
          </w:p>
        </w:tc>
        <w:tc>
          <w:tcPr>
            <w:tcW w:w="2010" w:type="dxa"/>
          </w:tcPr>
          <w:p w14:paraId="324D56D0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не более 10</w:t>
            </w:r>
          </w:p>
        </w:tc>
      </w:tr>
      <w:tr w:rsidR="002975E0" w:rsidRPr="00FB2080" w14:paraId="405136A4" w14:textId="77777777" w:rsidTr="00626EEC">
        <w:tc>
          <w:tcPr>
            <w:tcW w:w="801" w:type="dxa"/>
          </w:tcPr>
          <w:p w14:paraId="4405F87A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3.3.2.</w:t>
            </w:r>
          </w:p>
        </w:tc>
        <w:tc>
          <w:tcPr>
            <w:tcW w:w="4539" w:type="dxa"/>
            <w:gridSpan w:val="2"/>
          </w:tcPr>
          <w:p w14:paraId="341A4613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  <w:lang w:eastAsia="ru-RU"/>
              </w:rPr>
            </w:pPr>
            <w:r w:rsidRPr="00FB2080">
              <w:rPr>
                <w:b w:val="0"/>
                <w:szCs w:val="26"/>
                <w:lang w:eastAsia="ru-RU"/>
              </w:rPr>
              <w:t>Количество пересадок пассажиров в целях перемещения к месту назначения</w:t>
            </w:r>
          </w:p>
        </w:tc>
        <w:tc>
          <w:tcPr>
            <w:tcW w:w="2504" w:type="dxa"/>
            <w:gridSpan w:val="2"/>
          </w:tcPr>
          <w:p w14:paraId="6EFF1400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единиц</w:t>
            </w:r>
          </w:p>
        </w:tc>
        <w:tc>
          <w:tcPr>
            <w:tcW w:w="2010" w:type="dxa"/>
          </w:tcPr>
          <w:p w14:paraId="4AAF40AE" w14:textId="77777777" w:rsidR="002975E0" w:rsidRPr="00FB2080" w:rsidRDefault="002975E0" w:rsidP="00626EEC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FB2080">
              <w:rPr>
                <w:b w:val="0"/>
              </w:rPr>
              <w:t>не более 2</w:t>
            </w:r>
          </w:p>
        </w:tc>
      </w:tr>
    </w:tbl>
    <w:p w14:paraId="06AA0CD8" w14:textId="77777777" w:rsidR="002975E0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</w:p>
    <w:p w14:paraId="44BB7716" w14:textId="77777777" w:rsidR="002975E0" w:rsidRPr="009E064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  <w:r>
        <w:rPr>
          <w:b w:val="0"/>
          <w:szCs w:val="26"/>
          <w:lang w:eastAsia="ru-RU"/>
        </w:rPr>
        <w:t>5</w:t>
      </w:r>
      <w:r w:rsidRPr="009E0647">
        <w:rPr>
          <w:b w:val="0"/>
          <w:szCs w:val="26"/>
          <w:lang w:eastAsia="ru-RU"/>
        </w:rPr>
        <w:t xml:space="preserve">. Оценка качества транспортного обслуживания населения при осуществлении перевозок пассажиров и багажа автомобильным транспортом по муниципальным маршрутам регулярных перевозок в </w:t>
      </w:r>
      <w:r w:rsidRPr="006A4655">
        <w:rPr>
          <w:b w:val="0"/>
          <w:szCs w:val="26"/>
          <w:lang w:eastAsia="ru-RU"/>
        </w:rPr>
        <w:t>городско</w:t>
      </w:r>
      <w:r>
        <w:rPr>
          <w:b w:val="0"/>
          <w:szCs w:val="26"/>
          <w:lang w:eastAsia="ru-RU"/>
        </w:rPr>
        <w:t>м</w:t>
      </w:r>
      <w:r w:rsidRPr="006A4655">
        <w:rPr>
          <w:b w:val="0"/>
          <w:szCs w:val="26"/>
          <w:lang w:eastAsia="ru-RU"/>
        </w:rPr>
        <w:t xml:space="preserve"> округ</w:t>
      </w:r>
      <w:r>
        <w:rPr>
          <w:b w:val="0"/>
          <w:szCs w:val="26"/>
          <w:lang w:eastAsia="ru-RU"/>
        </w:rPr>
        <w:t>е</w:t>
      </w:r>
      <w:r w:rsidRPr="006A4655">
        <w:rPr>
          <w:b w:val="0"/>
          <w:szCs w:val="26"/>
          <w:lang w:eastAsia="ru-RU"/>
        </w:rPr>
        <w:t xml:space="preserve"> город</w:t>
      </w:r>
      <w:r>
        <w:rPr>
          <w:b w:val="0"/>
          <w:szCs w:val="26"/>
          <w:lang w:eastAsia="ru-RU"/>
        </w:rPr>
        <w:t>а</w:t>
      </w:r>
      <w:r w:rsidRPr="006A4655">
        <w:rPr>
          <w:b w:val="0"/>
          <w:szCs w:val="26"/>
          <w:lang w:eastAsia="ru-RU"/>
        </w:rPr>
        <w:t xml:space="preserve"> Обнинск</w:t>
      </w:r>
      <w:r>
        <w:rPr>
          <w:b w:val="0"/>
          <w:szCs w:val="26"/>
          <w:lang w:eastAsia="ru-RU"/>
        </w:rPr>
        <w:t>а</w:t>
      </w:r>
      <w:r w:rsidRPr="006A4655">
        <w:rPr>
          <w:b w:val="0"/>
          <w:szCs w:val="26"/>
          <w:lang w:eastAsia="ru-RU"/>
        </w:rPr>
        <w:t xml:space="preserve"> Калужской области</w:t>
      </w:r>
      <w:r w:rsidRPr="009E0647">
        <w:rPr>
          <w:b w:val="0"/>
          <w:szCs w:val="26"/>
          <w:lang w:eastAsia="ru-RU"/>
        </w:rPr>
        <w:t xml:space="preserve"> проводится в соответствии с </w:t>
      </w:r>
      <w:hyperlink r:id="rId15" w:history="1">
        <w:r w:rsidRPr="00594E02">
          <w:rPr>
            <w:rStyle w:val="ac"/>
            <w:b w:val="0"/>
            <w:color w:val="auto"/>
            <w:szCs w:val="26"/>
            <w:u w:val="none"/>
            <w:lang w:val="ru-RU" w:eastAsia="ru-RU" w:bidi="ar-SA"/>
          </w:rPr>
          <w:t>приложением</w:t>
        </w:r>
      </w:hyperlink>
      <w:r w:rsidRPr="00594E02">
        <w:rPr>
          <w:b w:val="0"/>
          <w:szCs w:val="26"/>
          <w:lang w:eastAsia="ru-RU"/>
        </w:rPr>
        <w:t xml:space="preserve"> </w:t>
      </w:r>
      <w:r w:rsidRPr="009E0647">
        <w:rPr>
          <w:b w:val="0"/>
          <w:szCs w:val="26"/>
          <w:lang w:eastAsia="ru-RU"/>
        </w:rPr>
        <w:t xml:space="preserve">к социальному стандарту транспортного обслуживания населения при осуществлении перевозок пассажиров </w:t>
      </w:r>
      <w:r w:rsidRPr="009E0647">
        <w:rPr>
          <w:b w:val="0"/>
          <w:szCs w:val="26"/>
          <w:lang w:eastAsia="ru-RU"/>
        </w:rPr>
        <w:lastRenderedPageBreak/>
        <w:t xml:space="preserve">и багажа автомобильным и городским наземным электрическим транспортом, утвержденному </w:t>
      </w:r>
      <w:r w:rsidRPr="00594E02">
        <w:rPr>
          <w:b w:val="0"/>
          <w:szCs w:val="26"/>
          <w:lang w:eastAsia="ru-RU"/>
        </w:rPr>
        <w:t>распоряжением Министерства транспорта РФ от 31.01.2017 № НА-19-р, а также на о</w:t>
      </w:r>
      <w:r w:rsidRPr="009E0647">
        <w:rPr>
          <w:b w:val="0"/>
          <w:szCs w:val="26"/>
          <w:lang w:eastAsia="ru-RU"/>
        </w:rPr>
        <w:t>сновании опросов населения об уровне удовлетворенности качеством услуг по перевозке пассажиров и багажа автомобильным транспортом.</w:t>
      </w:r>
    </w:p>
    <w:p w14:paraId="66D45ECE" w14:textId="77777777" w:rsidR="002975E0" w:rsidRPr="00C25007" w:rsidRDefault="002975E0" w:rsidP="002975E0">
      <w:pPr>
        <w:suppressAutoHyphens w:val="0"/>
        <w:autoSpaceDE w:val="0"/>
        <w:autoSpaceDN w:val="0"/>
        <w:adjustRightInd w:val="0"/>
        <w:ind w:firstLine="540"/>
        <w:jc w:val="both"/>
        <w:rPr>
          <w:b w:val="0"/>
          <w:szCs w:val="26"/>
          <w:lang w:eastAsia="ru-RU"/>
        </w:rPr>
      </w:pPr>
    </w:p>
    <w:p w14:paraId="7C46008A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248FAA11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367C1270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50DC185F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269FCB81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5B4EE948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7D584BB0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3F5CABA7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6132044D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56DBE79F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4D519CF2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4EFED61E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21690D73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5635B25E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6508A5D3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17CE7C27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677D983E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58466594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1FB3BD8D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4D7B9B72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1A073A5C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22569C03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6FABE898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3106F054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723E8993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6430BC0B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3CAAE4B6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0314F77B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5666E999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451C6A1A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6E1F37EA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3EB10F5C" w14:textId="77777777" w:rsidR="002975E0" w:rsidRDefault="002975E0" w:rsidP="002975E0">
      <w:pPr>
        <w:tabs>
          <w:tab w:val="left" w:pos="1027"/>
        </w:tabs>
        <w:rPr>
          <w:bCs/>
          <w:sz w:val="24"/>
          <w:szCs w:val="24"/>
        </w:rPr>
      </w:pPr>
    </w:p>
    <w:p w14:paraId="70F2D22A" w14:textId="77777777" w:rsidR="002975E0" w:rsidRDefault="002975E0"/>
    <w:sectPr w:rsidR="00297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4E30"/>
    <w:multiLevelType w:val="multilevel"/>
    <w:tmpl w:val="BE1A876A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64555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E0"/>
    <w:rsid w:val="002975E0"/>
    <w:rsid w:val="007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424E"/>
  <w15:chartTrackingRefBased/>
  <w15:docId w15:val="{1774BD46-794B-4313-A389-1C1E203D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5E0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7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5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5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5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5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5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5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5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5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5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5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5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5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5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5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5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5E0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2975E0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3071&amp;dst=100053" TargetMode="External"/><Relationship Id="rId13" Type="http://schemas.openxmlformats.org/officeDocument/2006/relationships/hyperlink" Target="https://login.consultant.ru/link/?req=doc&amp;base=LAW&amp;n=484632&amp;dst=10007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D175E1EE871FDD3F891DD38C1978CD5AB5593A82739DEED2E186F152F5A270AD632B3E2F4B51AAF838D8D99FYCy9M" TargetMode="External"/><Relationship Id="rId12" Type="http://schemas.openxmlformats.org/officeDocument/2006/relationships/hyperlink" Target="consultantplus://offline/ref=AC39E0AC45E7873D886CFE3154BD46C3830945BB79E96A62ECBAA94F6B7AA4F7827C77724FBCDA112D11CC9C82AD8F91F2904AC70FE3885CW4M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D175E1EE871FDD3F891DD38C1978CD5AB5593A82739DEED2E186F152F5A270BF6373322D4D4FA9F82D8E88D99D5D57B8C80AF273FFD6B2Y9yEM" TargetMode="External"/><Relationship Id="rId11" Type="http://schemas.openxmlformats.org/officeDocument/2006/relationships/hyperlink" Target="https://login.consultant.ru/link/?req=doc&amp;base=LAW&amp;n=473071&amp;dst=100062" TargetMode="External"/><Relationship Id="rId5" Type="http://schemas.openxmlformats.org/officeDocument/2006/relationships/hyperlink" Target="consultantplus://offline/ref=AC39E0AC45E7873D886CFE3154BD46C3810742BF78E66A62ECBAA94F6B7AA4F7827C77724FBCDA132511CC9C82AD8F91F2904AC70FE3885CW4MAL" TargetMode="External"/><Relationship Id="rId15" Type="http://schemas.openxmlformats.org/officeDocument/2006/relationships/hyperlink" Target="consultantplus://offline/ref=AC39E0AC45E7873D886CFE3154BD46C3830940BF77ED6A62ECBAA94F6B7AA4F7827C77724FBCDB132111CC9C82AD8F91F2904AC70FE3885CW4MAL" TargetMode="External"/><Relationship Id="rId10" Type="http://schemas.openxmlformats.org/officeDocument/2006/relationships/hyperlink" Target="https://login.consultant.ru/link/?req=doc&amp;base=LAW&amp;n=473071&amp;dst=100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3071&amp;dst=100057" TargetMode="External"/><Relationship Id="rId14" Type="http://schemas.openxmlformats.org/officeDocument/2006/relationships/hyperlink" Target="https://login.consultant.ru/link/?req=doc&amp;base=LAW&amp;n=484632&amp;dst=100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2875</Words>
  <Characters>16393</Characters>
  <Application>Microsoft Office Word</Application>
  <DocSecurity>0</DocSecurity>
  <Lines>136</Lines>
  <Paragraphs>38</Paragraphs>
  <ScaleCrop>false</ScaleCrop>
  <Company/>
  <LinksUpToDate>false</LinksUpToDate>
  <CharactersWithSpaces>19230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2026-05-05T19:03:00Z</dcterms:created>
  <dcterms:modified xsi:type="dcterms:W3CDTF">2026-05-05T19:04:00Z</dcterms:modified>
</cp:coreProperties>
</file>